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3" w:type="dxa"/>
        <w:tblInd w:w="-28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"/>
        <w:gridCol w:w="380"/>
        <w:gridCol w:w="47"/>
        <w:gridCol w:w="520"/>
        <w:gridCol w:w="1039"/>
        <w:gridCol w:w="2335"/>
        <w:gridCol w:w="425"/>
        <w:gridCol w:w="426"/>
        <w:gridCol w:w="425"/>
        <w:gridCol w:w="96"/>
        <w:gridCol w:w="469"/>
        <w:gridCol w:w="30"/>
        <w:gridCol w:w="396"/>
        <w:gridCol w:w="425"/>
        <w:gridCol w:w="595"/>
        <w:gridCol w:w="1989"/>
      </w:tblGrid>
      <w:tr w:rsidR="00D9638E" w:rsidRPr="00D9638E" w:rsidTr="00177C53">
        <w:trPr>
          <w:gridBefore w:val="1"/>
          <w:wBefore w:w="46" w:type="dxa"/>
        </w:trPr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198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177C53">
        <w:trPr>
          <w:gridBefore w:val="1"/>
          <w:wBefore w:w="46" w:type="dxa"/>
          <w:trHeight w:val="283"/>
        </w:trPr>
        <w:tc>
          <w:tcPr>
            <w:tcW w:w="42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559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707" w:type="dxa"/>
            <w:gridSpan w:val="5"/>
            <w:shd w:val="clear" w:color="auto" w:fill="005CAB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6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198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D358C">
            <w:pPr>
              <w:spacing w:after="0" w:line="240" w:lineRule="auto"/>
              <w:ind w:right="98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177C53">
        <w:trPr>
          <w:gridBefore w:val="1"/>
          <w:wBefore w:w="46" w:type="dxa"/>
          <w:cantSplit/>
          <w:trHeight w:val="246"/>
        </w:trPr>
        <w:tc>
          <w:tcPr>
            <w:tcW w:w="9594" w:type="dxa"/>
            <w:gridSpan w:val="15"/>
            <w:shd w:val="clear" w:color="auto" w:fill="DBE5F1" w:themeFill="accent1" w:themeFillTint="33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{BAŞLIK}</w:t>
            </w: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41</w:t>
            </w:r>
          </w:p>
        </w:tc>
        <w:tc>
          <w:tcPr>
            <w:tcW w:w="3707" w:type="dxa"/>
            <w:gridSpan w:val="5"/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Birim işletme bünyesinde hangi birim altında hizmet vermektedir?</w:t>
            </w:r>
          </w:p>
        </w:tc>
        <w:tc>
          <w:tcPr>
            <w:tcW w:w="469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41</w:t>
            </w:r>
          </w:p>
        </w:tc>
        <w:tc>
          <w:tcPr>
            <w:tcW w:w="3707" w:type="dxa"/>
            <w:gridSpan w:val="5"/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Birimde çalışan personelin eğitimleri mevcut ve yeterli midir?</w:t>
            </w:r>
          </w:p>
        </w:tc>
        <w:tc>
          <w:tcPr>
            <w:tcW w:w="469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46</w:t>
            </w:r>
          </w:p>
        </w:tc>
        <w:tc>
          <w:tcPr>
            <w:tcW w:w="3707" w:type="dxa"/>
            <w:gridSpan w:val="5"/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Kalkış analizleri ve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Route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analizleri mevcut mudur?</w:t>
            </w:r>
          </w:p>
        </w:tc>
        <w:tc>
          <w:tcPr>
            <w:tcW w:w="469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46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</w:rPr>
              <w:t xml:space="preserve">Şayet </w:t>
            </w:r>
            <w:proofErr w:type="spellStart"/>
            <w:r w:rsidRPr="00F37897">
              <w:rPr>
                <w:rFonts w:ascii="Times New Roman" w:hAnsi="Times New Roman"/>
              </w:rPr>
              <w:t>take</w:t>
            </w:r>
            <w:proofErr w:type="spellEnd"/>
            <w:r w:rsidRPr="00F37897">
              <w:rPr>
                <w:rFonts w:ascii="Times New Roman" w:hAnsi="Times New Roman"/>
              </w:rPr>
              <w:t xml:space="preserve"> </w:t>
            </w:r>
            <w:proofErr w:type="spellStart"/>
            <w:r w:rsidRPr="00F37897">
              <w:rPr>
                <w:rFonts w:ascii="Times New Roman" w:hAnsi="Times New Roman"/>
              </w:rPr>
              <w:t>off</w:t>
            </w:r>
            <w:proofErr w:type="spellEnd"/>
            <w:r w:rsidRPr="00F37897">
              <w:rPr>
                <w:rFonts w:ascii="Times New Roman" w:hAnsi="Times New Roman"/>
              </w:rPr>
              <w:t xml:space="preserve"> analizleri işletme bünyesinde üretilmiyor ise işletme filosunda yer alan her bir hava aracı tipi </w:t>
            </w:r>
            <w:proofErr w:type="gramStart"/>
            <w:r w:rsidRPr="00F37897">
              <w:rPr>
                <w:rFonts w:ascii="Times New Roman" w:hAnsi="Times New Roman"/>
              </w:rPr>
              <w:t xml:space="preserve">için  </w:t>
            </w:r>
            <w:proofErr w:type="spellStart"/>
            <w:r w:rsidRPr="00F37897">
              <w:rPr>
                <w:rFonts w:ascii="Times New Roman" w:hAnsi="Times New Roman"/>
              </w:rPr>
              <w:t>take</w:t>
            </w:r>
            <w:proofErr w:type="spellEnd"/>
            <w:proofErr w:type="gramEnd"/>
            <w:r w:rsidRPr="00F37897">
              <w:rPr>
                <w:rFonts w:ascii="Times New Roman" w:hAnsi="Times New Roman"/>
              </w:rPr>
              <w:t xml:space="preserve"> </w:t>
            </w:r>
            <w:proofErr w:type="spellStart"/>
            <w:r w:rsidRPr="00F37897">
              <w:rPr>
                <w:rFonts w:ascii="Times New Roman" w:hAnsi="Times New Roman"/>
              </w:rPr>
              <w:t>off</w:t>
            </w:r>
            <w:proofErr w:type="spellEnd"/>
            <w:r w:rsidRPr="00F37897">
              <w:rPr>
                <w:rFonts w:ascii="Times New Roman" w:hAnsi="Times New Roman"/>
              </w:rPr>
              <w:t xml:space="preserve"> analizlerinin tedarikçi bir firmadan temin edilerek revizyonların takibinin işletmece yapılıp  kayıt altına alınıyor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4"/>
            </w:tblGrid>
            <w:tr w:rsidR="00807951" w:rsidRPr="009140C2" w:rsidTr="004B0D13">
              <w:trPr>
                <w:trHeight w:val="164"/>
              </w:trPr>
              <w:tc>
                <w:tcPr>
                  <w:tcW w:w="1764" w:type="dxa"/>
                </w:tcPr>
                <w:p w:rsidR="00807951" w:rsidRPr="009140C2" w:rsidRDefault="00807951" w:rsidP="00807951">
                  <w:pPr>
                    <w:pStyle w:val="Default"/>
                    <w:rPr>
                      <w:rFonts w:ascii="Times New Roman" w:cs="Times New Roman"/>
                      <w:sz w:val="22"/>
                      <w:szCs w:val="22"/>
                    </w:rPr>
                  </w:pPr>
                  <w:r w:rsidRPr="009140C2">
                    <w:rPr>
                      <w:rFonts w:ascii="Times New Roman" w:cs="Times New Roman"/>
                      <w:sz w:val="22"/>
                      <w:szCs w:val="22"/>
                    </w:rPr>
                    <w:t xml:space="preserve"> SHT 121-23 Md.18, Md.22 </w:t>
                  </w:r>
                </w:p>
              </w:tc>
            </w:tr>
          </w:tbl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pStyle w:val="Default"/>
              <w:jc w:val="both"/>
              <w:rPr>
                <w:rFonts w:asci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6"/>
            </w:tblGrid>
            <w:tr w:rsidR="00807951" w:rsidRPr="00F37897" w:rsidTr="004B0D13">
              <w:trPr>
                <w:trHeight w:val="164"/>
              </w:trPr>
              <w:tc>
                <w:tcPr>
                  <w:tcW w:w="3826" w:type="dxa"/>
                </w:tcPr>
                <w:p w:rsidR="00807951" w:rsidRPr="00F37897" w:rsidRDefault="00807951" w:rsidP="00807951">
                  <w:pPr>
                    <w:pStyle w:val="Default"/>
                    <w:jc w:val="both"/>
                    <w:rPr>
                      <w:rFonts w:ascii="Times New Roman" w:cs="Times New Roman"/>
                      <w:sz w:val="22"/>
                      <w:szCs w:val="22"/>
                    </w:rPr>
                  </w:pPr>
                  <w:proofErr w:type="spell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Hizmet</w:t>
                  </w:r>
                  <w:proofErr w:type="spell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alınan</w:t>
                  </w:r>
                  <w:proofErr w:type="spell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tedarikçilere</w:t>
                  </w:r>
                  <w:proofErr w:type="spell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yönelik</w:t>
                  </w:r>
                  <w:proofErr w:type="spellEnd"/>
                  <w:proofErr w:type="gram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denetim</w:t>
                  </w:r>
                  <w:proofErr w:type="spell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planı</w:t>
                  </w:r>
                  <w:proofErr w:type="spell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>oluşturulmuş</w:t>
                  </w:r>
                  <w:proofErr w:type="spellEnd"/>
                  <w:r w:rsidRPr="00F37897">
                    <w:rPr>
                      <w:rFonts w:ascii="Times New Roman" w:cs="Times New Roman"/>
                      <w:sz w:val="22"/>
                      <w:szCs w:val="22"/>
                    </w:rPr>
                    <w:t xml:space="preserve"> mu? </w:t>
                  </w:r>
                </w:p>
              </w:tc>
            </w:tr>
          </w:tbl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Söz konusu dokümanların dağıtımı hangi birimlere, kim tarafından yapılıyor?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Söz konusu dokümanların kontrolü nasıl yapılıyor?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Kullanılan dokümanın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revizyon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tarihi ve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no’su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>, kalitenin kullandığı doküman ile uyumlu mudur?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9140C2">
              <w:rPr>
                <w:rFonts w:ascii="Times New Roman" w:hAnsi="Times New Roman"/>
              </w:rPr>
              <w:t>Subpart</w:t>
            </w:r>
            <w:proofErr w:type="spellEnd"/>
            <w:r w:rsidRPr="009140C2">
              <w:rPr>
                <w:rFonts w:ascii="Times New Roman" w:hAnsi="Times New Roman"/>
              </w:rPr>
              <w:t xml:space="preserve"> J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Uçaktaki yükün dağılımı ve güvenli bir şekilde muhafazası sağlanmış mıdır?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</w:rPr>
              <w:t>SHT OPS 1 Madde 128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Operasyonun her aşamasında uçağın yüklenmesi ve ağırlık merkezinin AFM, ağırlık ve denge El Kitabı (WBM) veya daha kısıtlayıcı olması durumunda İşletme El Kitabında belirtilen sınırlamalara uygun olmasını sağlamış mıdır?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</w:rPr>
              <w:t>SHT OPS 1 Madde 128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Yük ve dengenin hesaplanmasına ilişkin veriler aşağıdakileri içeriyor mu?</w:t>
            </w:r>
          </w:p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-Hesaplama sistemi(İndeks sistemi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v.b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>.)</w:t>
            </w:r>
          </w:p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-Yük ve denge dokümanının oluşturuluş şekli manuel midir ya da bilgisayarlı sistem midir?</w:t>
            </w:r>
          </w:p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-Kuru operasyon ağırlığı ve ilgili ağırlık merkezi ya da indeksini içeriyor mudur?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214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Oluşturulan ağırlık ve denge formu ilgili Yer İşletme El Kitabı, İşletme El Kitabı Bölüm A veya B ‘deki şekliyle uyumlu mudur?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128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37897">
              <w:rPr>
                <w:rFonts w:ascii="Times New Roman" w:hAnsi="Times New Roman"/>
                <w:color w:val="000000"/>
              </w:rPr>
              <w:t>İşletici;uçağın</w:t>
            </w:r>
            <w:proofErr w:type="spellEnd"/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ilk işletmeye alınmasından önce ve daha sonra; ayrı ayrı uçak ağırlıkları kullanılmakta ise dört yıllık aralıklarla veya filo ağırlıkları kullanılmakta ise dokuz yıllık aralıklarla uçaklarını tartarak temel ağırlığını ve ağırlık merkezinin belirlenmesini sağlıyor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128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Modifikasyon ve tamirlere ilişkin değişikliklerin, ağırlık merkezi üzerindeki birikmiş etkileri dikkate alınmalı ve uygun şekilde belgelenerek uçak temel ağırlığına, temel indeksine ve ağırlık                           merkezine yansıtılmalı,            değişikliklerin </w:t>
            </w:r>
            <w:proofErr w:type="spellStart"/>
            <w:proofErr w:type="gramStart"/>
            <w:r w:rsidRPr="00F37897">
              <w:rPr>
                <w:rFonts w:ascii="Times New Roman" w:hAnsi="Times New Roman"/>
                <w:color w:val="000000"/>
              </w:rPr>
              <w:t>ağırlık,indeks</w:t>
            </w:r>
            <w:proofErr w:type="spellEnd"/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ve denge üzerindeki etkisi tam olarak bilinemiyorsa uçakların yeniden tartılması sağlanıyor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128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İşletici uçağın kuru operasyon ağırlığına (DOW)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dahil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olan tüm operasyon unsurlarının ve mürettebatın ağırlığını tartarak veya standart ağırlık kullanarak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DOW’u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belirlemek ve tüm operasyon unsurlarının ve mürettebatın konumlarının uçağın ağırlık merkezi (CG) üzerindeki etkisini test etmek üzere gereklilikleri sağlıyor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İşletici, mevcut yolcu koltuğu sayısının 10’dan az olduğu durumlar dışında, herkesin tartı ağırlığı ile kayıtlı bagajların tartı ağırlığını veya SHT OPS 1 Madde 131’de geçen Tablo 1 ve 3’te belirtilen standart ağırlık değerlerini kullanarak yolcuların ve kayıtlı bagajların ağırlığını hesaplıyor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Yolcu ağırlıklarının standart ağırlık değerleri kullanılarak belirlenmesi halinde, SHT OPS 1 Madde 131’de geçen Tablo 1 ve Tablo 2’de yer alan standart ağırlık değerlerinin kullanılması sağlanıyor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Gerçek ağırlığın tartılarak belirlenmesi halinde işletici yolcuların kişisel eşyalarının ve el bagajlarının da tartıma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dahil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edilmesini sağlıyor mu? Bu tartım işlemi uçağa binmeden hemen önce ve yakın bir yerde mi yapılıyor?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Ağırlık ve denge formlarını hazırlayanın ismi form üzerinde yer alıyor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37897">
              <w:rPr>
                <w:rFonts w:ascii="Times New Roman" w:hAnsi="Times New Roman"/>
                <w:color w:val="000000"/>
              </w:rPr>
              <w:t>İşletici;her</w:t>
            </w:r>
            <w:proofErr w:type="spellEnd"/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uçuştan önce yükün ve dağılımının belirtildiği ağırlık ve denge formunun doldurulmasını sağlıyor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Yükün ve dağılımının ağırlık ve denge formuna uygun olduğunu kontrol edenin ismi yazılıp, imzalanması sağlanıyor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Yükteki son dakika değişikliklerine ilişkin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geliştirilmiş midir? Buna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ilişkin  İşletme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El Kitabı içerisinde prosedür mevcut mudur?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131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Filosunda bulunan 20 ve daha fazla koltuk kapasitesine sahip tüm uçakların ağırlık ve denge formlarının Genel Müdürlükten onayı alınmış mıdır?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 xml:space="preserve">EU </w:t>
            </w:r>
            <w:proofErr w:type="gramStart"/>
            <w:r w:rsidRPr="009140C2">
              <w:rPr>
                <w:rFonts w:ascii="Times New Roman" w:hAnsi="Times New Roman"/>
                <w:bCs/>
                <w:color w:val="000000"/>
              </w:rPr>
              <w:t>OPS  1</w:t>
            </w:r>
            <w:proofErr w:type="gramEnd"/>
            <w:r w:rsidRPr="009140C2">
              <w:rPr>
                <w:rFonts w:ascii="Times New Roman" w:hAnsi="Times New Roman"/>
                <w:bCs/>
                <w:color w:val="000000"/>
              </w:rPr>
              <w:t>.025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>AHM 560 dokümanının operasyon yapılan meydanların ilgili yer hizmeti işletmelerine dağıtımı nasıl yapılıyor?</w:t>
            </w:r>
          </w:p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103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Performans hesaplamaları nasıl yapılıyor, şayet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suncontractor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aracılığıyla sağlanıyor ise bu hesaplamaların doğruluğundan nasıl emin olunuyor, bununla ilgili herhangi bir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proses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mevcut mudur?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103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Söz konusu programdan elde edilen hesaplamaların yanlış hesaplamaması için herhangi bir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mevcut mudur?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177C53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SHT OPS 1 Madde 103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Performans hesaplamalarının yapıldığı programın veri tabanı nereden </w:t>
            </w:r>
            <w:proofErr w:type="spellStart"/>
            <w:proofErr w:type="gramStart"/>
            <w:r w:rsidRPr="00F37897">
              <w:rPr>
                <w:rFonts w:ascii="Times New Roman" w:hAnsi="Times New Roman"/>
                <w:color w:val="000000"/>
              </w:rPr>
              <w:t>sağlanıyor,güncelliğinin</w:t>
            </w:r>
            <w:proofErr w:type="spellEnd"/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 takibi yapılıyor mu, nasıl?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28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Hava araçlarında bulundurulan dokümanların (AFM, QRH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v.b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.) güncelliği nasıl takip </w:t>
            </w:r>
            <w:proofErr w:type="spellStart"/>
            <w:proofErr w:type="gramStart"/>
            <w:r w:rsidRPr="00F37897">
              <w:rPr>
                <w:rFonts w:ascii="Times New Roman" w:hAnsi="Times New Roman"/>
                <w:color w:val="000000"/>
              </w:rPr>
              <w:t>ediliyor,dağıtımı</w:t>
            </w:r>
            <w:proofErr w:type="spellEnd"/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nasıl yapılıyor, kayıtları tutuluyor mu,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hardcopy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dağıtımlar imza karşılığı yapılıyor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177C53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SHT OPS 1 Madde 46,103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Her bir uçuşa ilişkin güncel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airport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analizlerinin uçağa konulduğundan nasıl emin olunuyor?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46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F37897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7897">
              <w:rPr>
                <w:rFonts w:ascii="Times New Roman" w:hAnsi="Times New Roman"/>
                <w:color w:val="000000"/>
              </w:rPr>
              <w:t xml:space="preserve">Mevcut listede yer almayan yeni bir destinasyona uçuş planlandığında söz konusu meydana ilişkin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aerodrome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operating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minima’nın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belirlenmesiyle </w:t>
            </w:r>
            <w:proofErr w:type="gramStart"/>
            <w:r w:rsidRPr="00F37897">
              <w:rPr>
                <w:rFonts w:ascii="Times New Roman" w:hAnsi="Times New Roman"/>
                <w:color w:val="000000"/>
              </w:rPr>
              <w:t>ilgili  herhangi</w:t>
            </w:r>
            <w:proofErr w:type="gramEnd"/>
            <w:r w:rsidRPr="00F37897">
              <w:rPr>
                <w:rFonts w:ascii="Times New Roman" w:hAnsi="Times New Roman"/>
                <w:color w:val="000000"/>
              </w:rPr>
              <w:t xml:space="preserve"> bir prosedür mevcut mudur?(Özel meydan kısıtlamaları, </w:t>
            </w:r>
            <w:proofErr w:type="spellStart"/>
            <w:r w:rsidRPr="00F37897">
              <w:rPr>
                <w:rFonts w:ascii="Times New Roman" w:hAnsi="Times New Roman"/>
                <w:color w:val="000000"/>
              </w:rPr>
              <w:t>minimalar</w:t>
            </w:r>
            <w:proofErr w:type="spellEnd"/>
            <w:r w:rsidRPr="00F37897">
              <w:rPr>
                <w:rFonts w:ascii="Times New Roman" w:hAnsi="Times New Roman"/>
                <w:color w:val="000000"/>
              </w:rPr>
              <w:t xml:space="preserve"> nasıl sağlanıyor, prosedür mevcut mudur?)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46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Tüm meydanlara ilişkin özel meydan kısıtlamaları İşletme El Kitabı Bölüm C’de belirlenmiş midir?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104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9140C2">
              <w:rPr>
                <w:rFonts w:ascii="Times New Roman" w:hAnsi="Times New Roman"/>
                <w:lang w:val="en-GB"/>
              </w:rPr>
              <w:t>İşletme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filosunda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yer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alan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hava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araçlarına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ilişkin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kalkış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analizleri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hazırlarken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>;</w:t>
            </w:r>
          </w:p>
          <w:p w:rsidR="00807951" w:rsidRPr="009140C2" w:rsidRDefault="00807951" w:rsidP="00807951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en-GB"/>
              </w:rPr>
            </w:pPr>
            <w:r w:rsidRPr="009140C2">
              <w:rPr>
                <w:rFonts w:ascii="Times New Roman" w:hAnsi="Times New Roman"/>
                <w:lang w:val="en-GB"/>
              </w:rPr>
              <w:t>-Accelerate-</w:t>
            </w:r>
            <w:proofErr w:type="gramStart"/>
            <w:r w:rsidRPr="009140C2">
              <w:rPr>
                <w:rFonts w:ascii="Times New Roman" w:hAnsi="Times New Roman"/>
                <w:lang w:val="en-GB"/>
              </w:rPr>
              <w:t xml:space="preserve">stop 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distance’ın</w:t>
            </w:r>
            <w:proofErr w:type="spellEnd"/>
            <w:proofErr w:type="gramEnd"/>
            <w:r w:rsidRPr="009140C2">
              <w:rPr>
                <w:rFonts w:ascii="Times New Roman" w:hAnsi="Times New Roman"/>
                <w:lang w:val="en-GB"/>
              </w:rPr>
              <w:t xml:space="preserve">(ASD)   accelerate-stop  distance available(ASDA)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değerini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aşmaması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sağlanıyor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mu?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104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en-GB"/>
              </w:rPr>
            </w:pPr>
            <w:r w:rsidRPr="009140C2">
              <w:rPr>
                <w:rFonts w:ascii="Times New Roman" w:hAnsi="Times New Roman"/>
                <w:lang w:val="en-GB"/>
              </w:rPr>
              <w:t xml:space="preserve">- The take-off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distance’ın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(TOD), the take-off distance available (TODA)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değerini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aşmaması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sağlanıyor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mu? 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104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en-GB"/>
              </w:rPr>
            </w:pPr>
            <w:r w:rsidRPr="009140C2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Kullanılan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maniadan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temizlenmiş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alan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proofErr w:type="gramStart"/>
            <w:r w:rsidRPr="009140C2">
              <w:rPr>
                <w:rFonts w:ascii="Times New Roman" w:hAnsi="Times New Roman"/>
                <w:lang w:val="en-GB"/>
              </w:rPr>
              <w:t>mesafesinin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,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mevcut</w:t>
            </w:r>
            <w:proofErr w:type="spellEnd"/>
            <w:proofErr w:type="gram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kalkış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koşusu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mesafesinin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(TORA)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yarısından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fazla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olmaması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sağlanıyor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mu? </w:t>
            </w:r>
          </w:p>
          <w:p w:rsidR="00807951" w:rsidRPr="009140C2" w:rsidRDefault="00807951" w:rsidP="00807951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en-GB"/>
              </w:rPr>
            </w:pPr>
            <w:proofErr w:type="gramStart"/>
            <w:r w:rsidRPr="009140C2">
              <w:rPr>
                <w:rFonts w:ascii="Times New Roman" w:hAnsi="Times New Roman"/>
                <w:lang w:val="en-GB"/>
              </w:rPr>
              <w:t>The  take</w:t>
            </w:r>
            <w:proofErr w:type="gramEnd"/>
            <w:r w:rsidRPr="009140C2">
              <w:rPr>
                <w:rFonts w:ascii="Times New Roman" w:hAnsi="Times New Roman"/>
                <w:lang w:val="en-GB"/>
              </w:rPr>
              <w:t xml:space="preserve">-off  run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değerinin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(TOR),    the  take-off  run  available (TORA)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değerini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aşmaması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sağlanıyor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mu?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104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9140C2">
              <w:rPr>
                <w:rFonts w:ascii="Times New Roman" w:hAnsi="Times New Roman"/>
                <w:lang w:val="en-GB"/>
              </w:rPr>
              <w:t>Islak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ve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veya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kuru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bir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pistteki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kalkış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ağırlığının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aynı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koşullar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altındaki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kuru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pistte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izin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verilen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kalkış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ağırlığını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aşmaması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lang w:val="en-GB"/>
              </w:rPr>
              <w:t>sağlanıyor</w:t>
            </w:r>
            <w:proofErr w:type="spellEnd"/>
            <w:r w:rsidRPr="009140C2">
              <w:rPr>
                <w:rFonts w:ascii="Times New Roman" w:hAnsi="Times New Roman"/>
                <w:lang w:val="en-GB"/>
              </w:rPr>
              <w:t xml:space="preserve">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104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İşletici,  kalkış ağırlığını hesaplarken,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-kalkışın gerçekleştirileceği havaalanının basınç yüksekliği,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 -çevre sıcaklığı,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- pist yüzey koşulları ve pist yüzey tipi,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- kalkış yönündeki pistin eğimi, 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-rapor edilmiş olan baş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rüzgarı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bileşenlerinin en fazla %50’si veya arka rüzgar bileşenlerinin en az %150’si,</w:t>
            </w:r>
          </w:p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-mevcut olması durumunda kalkış öncesinde uçağın pist üzerinde kalkış pozisyonu almasından kaynaklanan pist uzunluğu kaybının dikkate alınmasını sağlıyor mu? 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105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İşletici, net kalkış uçuş yolunu, en az 35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>.’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lik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bir dikey yükseklikte veya en az 90 m. Artı 0.125xD yatay mesafesi içerisinde tüm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manialardan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arındırılmış olmasını sağlıyor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105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İşletici 200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. İle 400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. Arasında 20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celcius’u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aşmayan veya 400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ft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. Üzerinde 30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celcius’u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aşmayan artırılmış yatış açılarını uygulayabilmek için Genel Müdürlük onayına tabi özel usullerin kullanılmasını sağlıyor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SHT OPS 1 Madde 108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İşletici uçağın iniş ağırlığının, varış yerine ve yedek hava alanına tahmin edilen iniş zamanına ilişkin beklenen irtifa ve çevre sıcaklığı için tespit edilen azami iniş ağırlığını aşmamasını sağlıyor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sisteminin açılması ve kapanmasına ilişkin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sisteminin her türlü arızası ile ilgili uygun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Uçaktaki tüm sistemlerin arızalanması durumunda EFB sistemini kullanımına ilişkin geliştirilmiş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sisteminin yedeklenmesine yönelik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sisteminin iş yükünü azaltacak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 (İşlemlerin sıraya konulmasına ilişkin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Hangi bilgi kaynağının öncelikli olduğuna dair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Uçuşun yoğun iş yükü barındıran safhalarında EFB kullanımı ile ilgili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prosedürler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Bilgilerin fazla/gereksiz yada EFB sisteminden farklı olması durumunda hangi bilgilerin kullanılacağına dair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Her yazılım uygulamasının doğru ve güncel verileri içerdiğine dair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 (Güncelleme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prosedürü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İçerikte veya bilgilerde yapılan değişiklikler uygun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şekilde  yapılmış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Pilotlara EFB güncellemeleri ile ilgili bilgi verilmesine ilişkin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Belli bir uçak tipi yada tescil işaretine ait EFB kullanımı olduğu zaman doğru bilginin girilmesine dair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mevcut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sisteminin değişikliği sırasında hataların önlenmesi ile ilgili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 (yazılım veya donanım değişikliği)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Kokpitte birden fazla EFB sistemi olması durumunda, bütün EFB sistemlerinin içerik ve bilgilerinin aynı olduğunun teyidine dair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sisteminden alınan verilerin uçuşta kullanılmasının uygun olduğuna dair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140C2">
              <w:rPr>
                <w:rFonts w:ascii="Times New Roman" w:hAnsi="Times New Roman"/>
                <w:color w:val="000000"/>
              </w:rPr>
              <w:t>Database’de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uçuşta kullanımının onaylı olmadığı zamanda yapılacak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 (Database de olmayan bir meydana uçuş planlanması gibi)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Bütün kişisel girdilerin EFB sisteminden temizlenmesi için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sisteminden geribildirim alınabilmesi için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 (Sistemi kullanan kişinin veya sistem yöneticisinin)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Operatörün EFB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feedback’lerini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izleyebileceği aradaki farkı düzeltebileceği ve EFB üreticisine rapor edebileceği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Elektronik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kullanımı ile ilgili özel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Elektronik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charttaki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uygulanıp uçuş yapılırken başka ne tip EFB uygulamaları yapılabileceğine dair bir kural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140C2">
              <w:rPr>
                <w:rFonts w:ascii="Times New Roman" w:hAnsi="Times New Roman"/>
                <w:color w:val="000000"/>
              </w:rPr>
              <w:t>Navigasyon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ve yaklaşma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chartlarının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var ve yüklü olduğuna dair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Ağırlık ve Denge hesaplamalarına ilişkin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Ağırlık ve Denge yazılımının tamamlama sorumluluğu ile ilgili bir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Ağırlık ve Denge kayıtlarının saklanması ile ilgili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prosedürler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performans verilerinin EFB dışında tutulması(saklanması) ile ilgili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prosedür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OM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Part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D içerisinde belirtilen eğitimler gerçekleştirilmiş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Sisteme ilişkin eğitim tüm fonksiyon ve uygulamaları karşılıyor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Eğitim tüm yazılım uygulamalarının bütün teknik özelliklerinin kullanımını gösteriyor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eğitimi bittikten sonra bütün pilotlara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uygulamar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yaptırılarak  EFB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üzerindeki hakimiyetleri kontrol ediliyor mu? (Sistemde kayıtlı deneme uygulamaları kontrol edilmeli)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İşletmeye yeni katılan EFB kullanıcısı olacak personel için gerekli eğitimler veriliyor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EFB üreticisinin dokümanları yeterli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eğitimi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simüle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edildiğinde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simüle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edilen sistem asıl sistem kadar güvenilir mi? (Class II ve Class III için sorulabilir)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EFB eğitim cihazı önemli her konuyu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simüle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edebiliyor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Elektronik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chartların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kullanımı ile ilgili eğitim uygun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Elektronik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chartların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her türlü durumu hakkında eğitim veriliyor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Kokpit göstergeleri ile elektronik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chartlar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arasındaki harita ölçeği,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oryantasyon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ve veri kalitesi eğitimi veriliyor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Pilotlar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kağıt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chartları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kullandığı gibi elektronik </w:t>
            </w:r>
            <w:proofErr w:type="spellStart"/>
            <w:r w:rsidRPr="009140C2">
              <w:rPr>
                <w:rFonts w:ascii="Times New Roman" w:hAnsi="Times New Roman"/>
                <w:color w:val="000000"/>
              </w:rPr>
              <w:t>chartlarıda</w:t>
            </w:r>
            <w:proofErr w:type="spellEnd"/>
            <w:r w:rsidRPr="009140C2">
              <w:rPr>
                <w:rFonts w:ascii="Times New Roman" w:hAnsi="Times New Roman"/>
                <w:color w:val="000000"/>
              </w:rPr>
              <w:t xml:space="preserve"> kullanabiliyor mu?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Kritik performans hesaplarının yapılması ile ilgili (pist uzunluğu W&amp;B) eğitim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Uçağın durumu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yada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harici koşullarda farklılık olduğunda neler yapılacağı ile ilgili eğitim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>Performans yazılımına gerekli bilgilerin nasıl girileceğine dair eğitim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51" w:rsidRPr="00D9638E" w:rsidTr="00177C53">
        <w:trPr>
          <w:gridBefore w:val="1"/>
          <w:wBefore w:w="46" w:type="dxa"/>
          <w:cantSplit/>
          <w:trHeight w:val="1096"/>
        </w:trPr>
        <w:tc>
          <w:tcPr>
            <w:tcW w:w="4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Default="00B22A2F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jc w:val="center"/>
              <w:rPr>
                <w:rFonts w:ascii="Times New Roman" w:hAnsi="Times New Roman"/>
              </w:rPr>
            </w:pPr>
            <w:r w:rsidRPr="009140C2">
              <w:rPr>
                <w:rFonts w:ascii="Times New Roman" w:hAnsi="Times New Roman"/>
                <w:bCs/>
                <w:color w:val="000000"/>
              </w:rPr>
              <w:t>TGL 36</w:t>
            </w:r>
          </w:p>
        </w:tc>
        <w:tc>
          <w:tcPr>
            <w:tcW w:w="3707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9140C2" w:rsidRDefault="00807951" w:rsidP="0080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0C2">
              <w:rPr>
                <w:rFonts w:ascii="Times New Roman" w:hAnsi="Times New Roman"/>
                <w:color w:val="000000"/>
              </w:rPr>
              <w:t xml:space="preserve">Normal kaynaklara ulaşılamadığında gerekli </w:t>
            </w:r>
            <w:proofErr w:type="gramStart"/>
            <w:r w:rsidRPr="009140C2">
              <w:rPr>
                <w:rFonts w:ascii="Times New Roman" w:hAnsi="Times New Roman"/>
                <w:color w:val="000000"/>
              </w:rPr>
              <w:t>datalara</w:t>
            </w:r>
            <w:proofErr w:type="gramEnd"/>
            <w:r w:rsidRPr="009140C2">
              <w:rPr>
                <w:rFonts w:ascii="Times New Roman" w:hAnsi="Times New Roman"/>
                <w:color w:val="000000"/>
              </w:rPr>
              <w:t xml:space="preserve"> nereden ulaşılacağına dair bir eğitim var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07951" w:rsidRPr="00D9638E" w:rsidRDefault="00807951" w:rsidP="008079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53" w:rsidRPr="00D9638E" w:rsidTr="00177C53">
        <w:trPr>
          <w:cantSplit/>
          <w:trHeight w:val="246"/>
        </w:trPr>
        <w:tc>
          <w:tcPr>
            <w:tcW w:w="9643" w:type="dxa"/>
            <w:gridSpan w:val="16"/>
            <w:shd w:val="clear" w:color="auto" w:fill="DBE5F1" w:themeFill="accent1" w:themeFillTint="33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EMNİYET YÖNETİM SİSTEMİ </w:t>
            </w:r>
          </w:p>
        </w:tc>
      </w:tr>
      <w:tr w:rsidR="00177C53" w:rsidRPr="00D9638E" w:rsidTr="00177C53">
        <w:trPr>
          <w:cantSplit/>
          <w:trHeight w:val="1096"/>
        </w:trPr>
        <w:tc>
          <w:tcPr>
            <w:tcW w:w="426" w:type="dxa"/>
            <w:gridSpan w:val="2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77C53" w:rsidRDefault="00177C53" w:rsidP="00A90DE1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Doc</w:t>
            </w:r>
            <w:proofErr w:type="spellEnd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 9859 </w:t>
            </w:r>
          </w:p>
          <w:p w:rsidR="00177C53" w:rsidRPr="00852735" w:rsidRDefault="00177C53" w:rsidP="00A90D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2.1</w:t>
            </w:r>
          </w:p>
        </w:tc>
        <w:tc>
          <w:tcPr>
            <w:tcW w:w="3374" w:type="dxa"/>
            <w:gridSpan w:val="2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üzerinde; tehlike belirleme, emniyet risklerinin analizi, değerlendirilmesi ve kontrolü süreçleri işletiliyor mu?</w:t>
            </w:r>
          </w:p>
        </w:tc>
        <w:tc>
          <w:tcPr>
            <w:tcW w:w="425" w:type="dxa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3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C53" w:rsidRPr="00D9638E" w:rsidTr="00177C53">
        <w:trPr>
          <w:cantSplit/>
          <w:trHeight w:val="1096"/>
        </w:trPr>
        <w:tc>
          <w:tcPr>
            <w:tcW w:w="426" w:type="dxa"/>
            <w:gridSpan w:val="2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77C53" w:rsidRDefault="00177C53" w:rsidP="00A90DE1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Doc</w:t>
            </w:r>
            <w:proofErr w:type="spellEnd"/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 9859 </w:t>
            </w:r>
          </w:p>
          <w:p w:rsidR="00177C53" w:rsidRPr="00852735" w:rsidRDefault="00177C53" w:rsidP="00A90D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3.1</w:t>
            </w:r>
          </w:p>
        </w:tc>
        <w:tc>
          <w:tcPr>
            <w:tcW w:w="3374" w:type="dxa"/>
            <w:gridSpan w:val="2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göz önünde bulundurularak; emniyet hedefleri ve emniyet performans göstergeleri oluşturulmuş mudur?</w:t>
            </w:r>
          </w:p>
        </w:tc>
        <w:tc>
          <w:tcPr>
            <w:tcW w:w="425" w:type="dxa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3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177C53" w:rsidRPr="00D9638E" w:rsidRDefault="00177C53" w:rsidP="00A90D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p w:rsidR="00B22A2F" w:rsidRDefault="00B22A2F" w:rsidP="00E509B9">
      <w:pPr>
        <w:spacing w:after="0"/>
      </w:pPr>
    </w:p>
    <w:p w:rsidR="00890795" w:rsidRDefault="00890795" w:rsidP="00E509B9">
      <w:pPr>
        <w:spacing w:after="0"/>
      </w:pPr>
    </w:p>
    <w:p w:rsidR="00890795" w:rsidRDefault="0089079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  <w:r w:rsidR="00365985">
        <w:rPr>
          <w:rFonts w:ascii="Arial" w:hAnsi="Arial" w:cs="Arial"/>
          <w:sz w:val="24"/>
        </w:rPr>
        <w:t>Bu kontrol listesinde UO-OPS-PRF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:rsidR="006F6962" w:rsidRDefault="006F6962"/>
    <w:sectPr w:rsidR="006F6962" w:rsidSect="00C47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88" w:rsidRDefault="00680288" w:rsidP="00C74DF3">
      <w:pPr>
        <w:spacing w:after="0" w:line="240" w:lineRule="auto"/>
      </w:pPr>
      <w:r>
        <w:separator/>
      </w:r>
    </w:p>
  </w:endnote>
  <w:endnote w:type="continuationSeparator" w:id="0">
    <w:p w:rsidR="00680288" w:rsidRDefault="0068028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_ New_ Roman_ Bold+ 25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84" w:rsidRDefault="00DE6D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1451EC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B22A2F">
      <w:rPr>
        <w:rFonts w:ascii="Arial" w:hAnsi="Arial" w:cs="Arial"/>
        <w:b/>
        <w:lang w:val="tr-TR"/>
      </w:rPr>
      <w:t>Performans Birimi</w:t>
    </w:r>
    <w:r w:rsidR="00852735">
      <w:rPr>
        <w:rFonts w:ascii="Arial" w:hAnsi="Arial" w:cs="Arial"/>
        <w:b/>
        <w:lang w:val="tr-TR"/>
      </w:rPr>
      <w:t xml:space="preserve">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DE6D8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bookmarkStart w:id="0" w:name="_GoBack"/>
          <w:bookmarkEnd w:id="0"/>
          <w:r w:rsidR="00032048">
            <w:rPr>
              <w:rFonts w:ascii="Arial" w:hAnsi="Arial" w:cs="Arial"/>
              <w:sz w:val="14"/>
              <w:szCs w:val="16"/>
            </w:rPr>
            <w:t>51859319.FR.</w:t>
          </w:r>
          <w:r w:rsidR="00032048">
            <w:rPr>
              <w:rFonts w:ascii="Arial" w:hAnsi="Arial" w:cs="Arial"/>
              <w:sz w:val="14"/>
              <w:szCs w:val="16"/>
              <w:lang w:val="tr-TR"/>
            </w:rPr>
            <w:t>13</w:t>
          </w:r>
          <w:r w:rsidR="00032048">
            <w:rPr>
              <w:rFonts w:ascii="Arial" w:hAnsi="Arial" w:cs="Arial"/>
              <w:sz w:val="14"/>
              <w:szCs w:val="16"/>
            </w:rPr>
            <w:t xml:space="preserve"> </w:t>
          </w:r>
          <w:r w:rsidR="00C476A4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365985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365985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365985"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 w:rsidR="00365985">
            <w:rPr>
              <w:rFonts w:ascii="Arial" w:hAnsi="Arial" w:cs="Arial"/>
              <w:sz w:val="14"/>
              <w:szCs w:val="16"/>
              <w:lang w:val="tr-TR"/>
            </w:rPr>
            <w:t>8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365985"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E6D84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E6D84">
            <w:rPr>
              <w:rFonts w:ascii="Arial" w:hAnsi="Arial" w:cs="Arial"/>
              <w:noProof/>
              <w:sz w:val="18"/>
              <w:szCs w:val="16"/>
            </w:rPr>
            <w:t>12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84" w:rsidRDefault="00DE6D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88" w:rsidRDefault="00680288" w:rsidP="00C74DF3">
      <w:pPr>
        <w:spacing w:after="0" w:line="240" w:lineRule="auto"/>
      </w:pPr>
      <w:r>
        <w:separator/>
      </w:r>
    </w:p>
  </w:footnote>
  <w:footnote w:type="continuationSeparator" w:id="0">
    <w:p w:rsidR="00680288" w:rsidRDefault="0068028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84" w:rsidRDefault="00DE6D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B22A2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PERFORMANS</w:t>
          </w:r>
          <w:r w:rsidR="009D358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BİRİMİ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DENETİMİ KONTROL FORMU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84" w:rsidRDefault="00DE6D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2048"/>
    <w:rsid w:val="000B75DE"/>
    <w:rsid w:val="000E4267"/>
    <w:rsid w:val="000E4760"/>
    <w:rsid w:val="00104D4B"/>
    <w:rsid w:val="00110FD8"/>
    <w:rsid w:val="001451EC"/>
    <w:rsid w:val="00177C53"/>
    <w:rsid w:val="001D186B"/>
    <w:rsid w:val="001E0C8A"/>
    <w:rsid w:val="003132B0"/>
    <w:rsid w:val="003179DE"/>
    <w:rsid w:val="003243C0"/>
    <w:rsid w:val="00364C08"/>
    <w:rsid w:val="00365985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5371D"/>
    <w:rsid w:val="00555324"/>
    <w:rsid w:val="005E05F7"/>
    <w:rsid w:val="005F4D1E"/>
    <w:rsid w:val="006107E9"/>
    <w:rsid w:val="00651BC9"/>
    <w:rsid w:val="006604AA"/>
    <w:rsid w:val="00672D22"/>
    <w:rsid w:val="00680288"/>
    <w:rsid w:val="00681463"/>
    <w:rsid w:val="00696448"/>
    <w:rsid w:val="006E31C6"/>
    <w:rsid w:val="006F6962"/>
    <w:rsid w:val="00700CC8"/>
    <w:rsid w:val="0072548D"/>
    <w:rsid w:val="00745412"/>
    <w:rsid w:val="00783DE9"/>
    <w:rsid w:val="007B08CA"/>
    <w:rsid w:val="00807951"/>
    <w:rsid w:val="00852735"/>
    <w:rsid w:val="00890795"/>
    <w:rsid w:val="00897C02"/>
    <w:rsid w:val="009512AF"/>
    <w:rsid w:val="009D358C"/>
    <w:rsid w:val="009D65B4"/>
    <w:rsid w:val="00A21B3C"/>
    <w:rsid w:val="00A53A1E"/>
    <w:rsid w:val="00A574CF"/>
    <w:rsid w:val="00A712C4"/>
    <w:rsid w:val="00A72816"/>
    <w:rsid w:val="00AB1C1B"/>
    <w:rsid w:val="00AE29BE"/>
    <w:rsid w:val="00B22A2F"/>
    <w:rsid w:val="00B84881"/>
    <w:rsid w:val="00B97AC7"/>
    <w:rsid w:val="00BB78A8"/>
    <w:rsid w:val="00BE7913"/>
    <w:rsid w:val="00C23241"/>
    <w:rsid w:val="00C44526"/>
    <w:rsid w:val="00C476A4"/>
    <w:rsid w:val="00C74DF3"/>
    <w:rsid w:val="00C97A6A"/>
    <w:rsid w:val="00CE7EE0"/>
    <w:rsid w:val="00D063D6"/>
    <w:rsid w:val="00D72CD0"/>
    <w:rsid w:val="00D76BD7"/>
    <w:rsid w:val="00D9638E"/>
    <w:rsid w:val="00DC1AFB"/>
    <w:rsid w:val="00DE6D84"/>
    <w:rsid w:val="00DF19AD"/>
    <w:rsid w:val="00E20744"/>
    <w:rsid w:val="00E208CD"/>
    <w:rsid w:val="00E503E6"/>
    <w:rsid w:val="00E509B9"/>
    <w:rsid w:val="00E57DBF"/>
    <w:rsid w:val="00E730A6"/>
    <w:rsid w:val="00E8356C"/>
    <w:rsid w:val="00EB44C9"/>
    <w:rsid w:val="00F1035A"/>
    <w:rsid w:val="00F200FF"/>
    <w:rsid w:val="00F30583"/>
    <w:rsid w:val="00F356B5"/>
    <w:rsid w:val="00F74A33"/>
    <w:rsid w:val="00F86EF1"/>
    <w:rsid w:val="00FB09F0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paragraph" w:customStyle="1" w:styleId="Default">
    <w:name w:val="Default"/>
    <w:rsid w:val="00807951"/>
    <w:pPr>
      <w:widowControl w:val="0"/>
      <w:autoSpaceDE w:val="0"/>
      <w:autoSpaceDN w:val="0"/>
      <w:adjustRightInd w:val="0"/>
    </w:pPr>
    <w:rPr>
      <w:rFonts w:ascii="Times_ New_ Roman_ Bold+ 25" w:eastAsia="Times_ New_ Roman_ Bold+ 25" w:hAnsi="Times New Roman" w:cs="Times_ New_ Roman_ Bold+ 25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paragraph" w:customStyle="1" w:styleId="Default">
    <w:name w:val="Default"/>
    <w:rsid w:val="00807951"/>
    <w:pPr>
      <w:widowControl w:val="0"/>
      <w:autoSpaceDE w:val="0"/>
      <w:autoSpaceDN w:val="0"/>
      <w:adjustRightInd w:val="0"/>
    </w:pPr>
    <w:rPr>
      <w:rFonts w:ascii="Times_ New_ Roman_ Bold+ 25" w:eastAsia="Times_ New_ Roman_ Bold+ 25" w:hAnsi="Times New Roman" w:cs="Times_ New_ Roman_ Bold+ 25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CD66-E256-4CF1-965E-6D6E07B7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2005</Words>
  <Characters>11432</Characters>
  <Application>Microsoft Office Word</Application>
  <DocSecurity>0</DocSecurity>
  <Lines>95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6</cp:revision>
  <cp:lastPrinted>2013-08-19T11:57:00Z</cp:lastPrinted>
  <dcterms:created xsi:type="dcterms:W3CDTF">2013-08-19T11:35:00Z</dcterms:created>
  <dcterms:modified xsi:type="dcterms:W3CDTF">2013-08-23T07:59:00Z</dcterms:modified>
</cp:coreProperties>
</file>