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7" w:type="dxa"/>
        <w:tblLook w:val="04A0" w:firstRow="1" w:lastRow="0" w:firstColumn="1" w:lastColumn="0" w:noHBand="0" w:noVBand="1"/>
      </w:tblPr>
      <w:tblGrid>
        <w:gridCol w:w="1996"/>
        <w:gridCol w:w="1261"/>
        <w:gridCol w:w="561"/>
        <w:gridCol w:w="5447"/>
        <w:gridCol w:w="5042"/>
      </w:tblGrid>
      <w:tr w:rsidR="00377B89" w:rsidRPr="0000315F" w:rsidTr="001E163D">
        <w:trPr>
          <w:cantSplit/>
          <w:trHeight w:val="684"/>
          <w:tblHeader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bookmarkStart w:id="0" w:name="_GoBack" w:colFirst="3" w:colLast="3"/>
            <w:r w:rsidRPr="00C66D9B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REGULATORY REFERENCE(S)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66D9B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CHECKLIST</w:t>
            </w:r>
            <w:r w:rsidRPr="00C66D9B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br/>
              <w:t>ITEM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66D9B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SUBJECT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66D9B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CAMO'S COMPLIANCE SECTION</w:t>
            </w:r>
          </w:p>
        </w:tc>
      </w:tr>
      <w:tr w:rsidR="00377B89" w:rsidRPr="0000315F" w:rsidTr="001E163D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u w:val="single"/>
              </w:rPr>
              <w:t>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u w:val="single"/>
              </w:rPr>
              <w:t>AMP DOCUMENT FORMAT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proofErr w:type="spellStart"/>
            <w:r w:rsidRPr="0000315F">
              <w:rPr>
                <w:rFonts w:ascii="Calibri" w:hAnsi="Calibri" w:cs="Calibri"/>
              </w:rPr>
              <w:t>Appendix</w:t>
            </w:r>
            <w:proofErr w:type="spellEnd"/>
            <w:r w:rsidRPr="0000315F">
              <w:rPr>
                <w:rFonts w:ascii="Calibri" w:hAnsi="Calibri" w:cs="Calibri"/>
              </w:rPr>
              <w:t xml:space="preserve"> 1.1.3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0.1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AMP REFERENCE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proofErr w:type="spellStart"/>
            <w:r w:rsidRPr="0000315F">
              <w:rPr>
                <w:rFonts w:ascii="Calibri" w:hAnsi="Calibri" w:cs="Calibri"/>
              </w:rPr>
              <w:t>Appendix</w:t>
            </w:r>
            <w:proofErr w:type="spellEnd"/>
            <w:r w:rsidRPr="0000315F">
              <w:rPr>
                <w:rFonts w:ascii="Calibri" w:hAnsi="Calibri" w:cs="Calibri"/>
              </w:rPr>
              <w:t xml:space="preserve"> 1.1.5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0.2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LIST OF E</w:t>
            </w:r>
            <w:r w:rsidRPr="00377B89">
              <w:rPr>
                <w:rFonts w:ascii="Calibri" w:eastAsia="Times New Roman" w:hAnsi="Calibri" w:cs="Calibri"/>
                <w:lang w:val="en-GB" w:eastAsia="en-GB"/>
              </w:rPr>
              <w:t>FFECTIVE PAG</w:t>
            </w:r>
            <w:r w:rsidRPr="0000315F">
              <w:rPr>
                <w:rFonts w:ascii="Calibri" w:hAnsi="Calibri" w:cs="Calibri"/>
              </w:rPr>
              <w:t>ES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M.A.302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0.3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APPROVAL SHEET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AMC M.A.401(b)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0.4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DISTRIBUTION LIST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proofErr w:type="spellStart"/>
            <w:r w:rsidRPr="0000315F">
              <w:rPr>
                <w:rFonts w:ascii="Calibri" w:hAnsi="Calibri" w:cs="Calibri"/>
              </w:rPr>
              <w:t>Appendix</w:t>
            </w:r>
            <w:proofErr w:type="spellEnd"/>
            <w:r w:rsidRPr="0000315F">
              <w:rPr>
                <w:rFonts w:ascii="Calibri" w:hAnsi="Calibri" w:cs="Calibri"/>
              </w:rPr>
              <w:t xml:space="preserve"> 1.1.8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0.5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RECORD OF REVISIONS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89" w:rsidRDefault="00377B89" w:rsidP="00377B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SHGM</w:t>
            </w:r>
          </w:p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proofErr w:type="spellStart"/>
            <w:r w:rsidRPr="0000315F">
              <w:rPr>
                <w:rFonts w:ascii="Calibri" w:hAnsi="Calibri" w:cs="Calibri"/>
              </w:rPr>
              <w:t>Recommended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0.6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RECORD OF EFFECTIVE TEMPORARY REVISIONS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89" w:rsidRDefault="00377B89" w:rsidP="00377B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SHGM</w:t>
            </w:r>
          </w:p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proofErr w:type="spellStart"/>
            <w:r w:rsidRPr="0000315F">
              <w:rPr>
                <w:rFonts w:ascii="Calibri" w:hAnsi="Calibri" w:cs="Calibri"/>
              </w:rPr>
              <w:t>Recommended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0.7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HIGHLIGHTS / SUMMARY OF CHANGES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89" w:rsidRDefault="00377B89" w:rsidP="00377B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SHGM</w:t>
            </w:r>
          </w:p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proofErr w:type="spellStart"/>
            <w:r w:rsidRPr="0000315F">
              <w:rPr>
                <w:rFonts w:ascii="Calibri" w:hAnsi="Calibri" w:cs="Calibri"/>
              </w:rPr>
              <w:t>Recommended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0.8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TABLE OF CONTENTS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1.1.20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DEFINITIONS, GLOSSARY, ABBREVIATIONS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Definitions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Glossary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Abbreviations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right"/>
              <w:rPr>
                <w:rFonts w:ascii="Calibri" w:hAnsi="Calibri" w:cs="Calibri"/>
                <w:b/>
                <w:bCs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u w:val="single"/>
              </w:rPr>
              <w:t>AMP GENERAL REQUIREMENTS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M.A.302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PRODUCT IDENTIFICATION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Type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/model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Serial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Number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(s)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aircraft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(s)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Type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/model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Engine(s)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Type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/model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Propeller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(s),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where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Type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/model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APU(s),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where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e)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Type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/model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any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STC(s),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where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applicable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f)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Reference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any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associated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TCDS(s)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AMC M.A.302 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RESPONSIBILITIES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3E61FA">
              <w:rPr>
                <w:rFonts w:ascii="Calibri" w:hAnsi="Calibri" w:cs="Calibri"/>
                <w:color w:val="000000"/>
              </w:rPr>
              <w:t xml:space="preserve">Name and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address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Operator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>(s)/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Owner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including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AOC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number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if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3E61FA">
              <w:rPr>
                <w:rFonts w:ascii="Calibri" w:hAnsi="Calibri" w:cs="Calibri"/>
                <w:color w:val="000000"/>
              </w:rPr>
              <w:t xml:space="preserve">Name and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address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Part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-CAMO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approved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organisation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responsible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CAW of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3E61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E61FA">
              <w:rPr>
                <w:rFonts w:ascii="Calibri" w:hAnsi="Calibri" w:cs="Calibri"/>
                <w:color w:val="000000"/>
              </w:rPr>
              <w:t>aircraft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lastRenderedPageBreak/>
              <w:t>M.A.302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STATEMENT BY THE CAMO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As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C95749">
              <w:rPr>
                <w:rFonts w:ascii="Calibri" w:hAnsi="Calibri" w:cs="Calibri"/>
                <w:color w:val="000000"/>
              </w:rPr>
              <w:t>UG.CAMO</w:t>
            </w:r>
            <w:proofErr w:type="gramEnd"/>
            <w:r w:rsidRPr="00C95749">
              <w:rPr>
                <w:rFonts w:ascii="Calibri" w:hAnsi="Calibri" w:cs="Calibri"/>
                <w:color w:val="000000"/>
              </w:rPr>
              <w:t>.00010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1.1.19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PRACTICES AND PROCEDURES STATEMENT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statement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that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practices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procedures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satisfy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AMP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should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be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standards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specified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TCH's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M.A.302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AIRCRAFT UTILISATION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TCH's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ICA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definition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annual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aircraft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utilisation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range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ref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MRBR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MPD,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where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Where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utilisation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is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lower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higher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than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range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Low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/High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Utilisation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Programme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be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defined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Anticipated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annual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aircraft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utilisation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including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utilisation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tolerance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no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more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than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25%)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Where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annual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aircraft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utilisation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cannot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be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anticipated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calendar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time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caps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be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included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LIMITATIONS OF THE MAINTENANCE PROGRAMME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Design Service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Goal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(DSG)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Extended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Service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Goal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(ESG)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Limit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Validity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LoV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AMC M.A.302(d)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1.1.17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REFERENCE DOCUMENTS </w:t>
            </w:r>
            <w:r w:rsidRPr="0000315F">
              <w:rPr>
                <w:rFonts w:ascii="Calibri" w:hAnsi="Calibri" w:cs="Calibri"/>
                <w:color w:val="000000"/>
              </w:rPr>
              <w:br/>
              <w:t xml:space="preserve">(minimum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content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TCDS Data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MRBR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if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MPD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if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AMM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Chapter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5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if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e)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Airworthiness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Limitations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Sections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parts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f)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Engine(s)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Manuals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including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ALS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g)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APU(s)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Manuals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including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ALS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h)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Part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-M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i)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Part-26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j)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Component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Manuals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CMMs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k)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Service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Bulletins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Letters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l)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Other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TC/STC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Holder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ICAs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gridAfter w:val="3"/>
          <w:wAfter w:w="11050" w:type="dxa"/>
          <w:cantSplit/>
          <w:trHeight w:val="450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gridAfter w:val="3"/>
          <w:wAfter w:w="11050" w:type="dxa"/>
          <w:cantSplit/>
          <w:trHeight w:val="450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gridAfter w:val="3"/>
          <w:wAfter w:w="11050" w:type="dxa"/>
          <w:cantSplit/>
          <w:trHeight w:val="450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u w:val="single"/>
              </w:rPr>
              <w:t>AMP BASIS AND CONCEPT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M.A.302</w:t>
            </w:r>
            <w:r w:rsidRPr="0000315F">
              <w:rPr>
                <w:rFonts w:ascii="Calibri" w:hAnsi="Calibri" w:cs="Calibri"/>
                <w:color w:val="000000"/>
              </w:rPr>
              <w:br/>
              <w:t>AMC M.A.302 (d)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2.1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PROGRAMME BASIS DESCRIPTION </w:t>
            </w:r>
            <w:r w:rsidRPr="0000315F">
              <w:rPr>
                <w:rFonts w:ascii="Calibri" w:hAnsi="Calibri" w:cs="Calibri"/>
                <w:color w:val="000000"/>
              </w:rPr>
              <w:br/>
              <w:t>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non-comprehensive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list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MRBR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if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),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e.g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. MSI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including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FEC, SSI, Standard/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Enhanced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Zonal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, EWIS, L/HIRF…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TCH/STCH/DOA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TC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Mandatory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requirements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i.e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. ALI, CMR, LLI, FAL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CPCP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e)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Engine TCH(s)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ALS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78E5">
              <w:rPr>
                <w:rFonts w:ascii="Calibri" w:hAnsi="Calibri" w:cs="Calibri"/>
                <w:color w:val="000000"/>
              </w:rPr>
              <w:t>Propeller</w:t>
            </w:r>
            <w:proofErr w:type="spellEnd"/>
            <w:r w:rsidRPr="008C78E5">
              <w:rPr>
                <w:rFonts w:ascii="Calibri" w:hAnsi="Calibri" w:cs="Calibri"/>
                <w:color w:val="000000"/>
              </w:rPr>
              <w:t xml:space="preserve"> TCH(s) </w:t>
            </w:r>
            <w:proofErr w:type="spellStart"/>
            <w:r w:rsidRPr="008C78E5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  <w:r w:rsidRPr="008C78E5">
              <w:rPr>
                <w:rFonts w:ascii="Calibri" w:hAnsi="Calibri" w:cs="Calibri"/>
                <w:color w:val="000000"/>
              </w:rPr>
              <w:t xml:space="preserve"> and ALS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APU TCH(s)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ALS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78E5">
              <w:rPr>
                <w:rFonts w:ascii="Calibri" w:hAnsi="Calibri" w:cs="Calibri"/>
                <w:color w:val="000000"/>
              </w:rPr>
              <w:t>European</w:t>
            </w:r>
            <w:proofErr w:type="spellEnd"/>
            <w:r w:rsidRPr="008C78E5">
              <w:rPr>
                <w:rFonts w:ascii="Calibri" w:hAnsi="Calibri" w:cs="Calibri"/>
                <w:color w:val="000000"/>
              </w:rPr>
              <w:t xml:space="preserve"> Technical Standard </w:t>
            </w:r>
            <w:proofErr w:type="spellStart"/>
            <w:r w:rsidRPr="008C78E5">
              <w:rPr>
                <w:rFonts w:ascii="Calibri" w:hAnsi="Calibri" w:cs="Calibri"/>
                <w:color w:val="000000"/>
              </w:rPr>
              <w:t>Order</w:t>
            </w:r>
            <w:proofErr w:type="spellEnd"/>
            <w:r w:rsidRPr="008C78E5">
              <w:rPr>
                <w:rFonts w:ascii="Calibri" w:hAnsi="Calibri" w:cs="Calibri"/>
                <w:color w:val="000000"/>
              </w:rPr>
              <w:t xml:space="preserve"> (ETSO) </w:t>
            </w:r>
            <w:proofErr w:type="spellStart"/>
            <w:r w:rsidRPr="008C78E5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Operator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/CAMO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SHGM</w:t>
            </w:r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Recommended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TASKS CLOCK STARTING POINT AND IMPLEMENTATION PERIODS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Description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clock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starting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point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calculation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due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dates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times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AMP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tasks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Dedicated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guidance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specific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categories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e.g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. ALS,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Ads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Overhauled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Landing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Gear, VR…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AMC M.A.302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</w:t>
            </w:r>
            <w:r w:rsidRPr="0000315F">
              <w:rPr>
                <w:rFonts w:ascii="Calibri" w:hAnsi="Calibri" w:cs="Calibri"/>
                <w:color w:val="000000"/>
              </w:rPr>
              <w:t xml:space="preserve">REPETITIVE MAINTENANCE TASKS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Repetitive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tasks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derived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from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Modifications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Repairs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AGEING AIRCRAFT SYSTEMS AND SPECIFIED SAMPLING PROGRAMME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Source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Sampling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Programme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Description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Sampling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Programme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Rules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Sampling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Programme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List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aircrafts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subject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Sampling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Programme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CRITICAL DESIGN CONFIGURATION CONTROL LIMITATIONS TOGETHER WITH APPROPRIATE PROCEDURES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Description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compliance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with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CDCCL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Life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limitations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requirements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related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fuel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tank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ignition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prevention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fuel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tank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flammability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reduction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Reference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relevant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procedures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e.g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. AMM)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M.A.301(h) </w:t>
            </w:r>
            <w:r w:rsidRPr="0000315F">
              <w:rPr>
                <w:rFonts w:ascii="Calibri" w:hAnsi="Calibri" w:cs="Calibri"/>
                <w:color w:val="000000"/>
              </w:rPr>
              <w:br/>
              <w:t>M.A.708(b)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WEIGHING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Weighing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cases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Weighing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procedures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Weight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balance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calculations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Result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processing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by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CAMO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SHGM</w:t>
            </w:r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Recommended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PARKING AND STORAGE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Description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aircraft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parking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storage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procedures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Associated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repetitive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scheduled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tasks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Default="00377B89" w:rsidP="00377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SHGM</w:t>
            </w:r>
          </w:p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Recommended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BRIDGING PROGRAMME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Description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Bridging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Programme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implementation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2.3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OPERATIONAL </w:t>
            </w:r>
            <w:r>
              <w:rPr>
                <w:rFonts w:ascii="Calibri" w:hAnsi="Calibri" w:cs="Calibri"/>
                <w:color w:val="000000"/>
              </w:rPr>
              <w:t>REQUIREMENTS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Weather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Operations (AWOPS - CAT II/CAT III)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Reduced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Vertical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Separation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Minimum (RVSM)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Minimum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Navigation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Performance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Specification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(MNPS)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procedures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Automatic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Depended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Surveillance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- Broadcast (ADS-B)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e)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Extended-range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Twin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-engine Operations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Performance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Standards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(ETOPS)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lastRenderedPageBreak/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2.4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2.10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2C4183">
              <w:rPr>
                <w:rFonts w:ascii="Calibri" w:hAnsi="Calibri" w:cs="Calibri"/>
                <w:color w:val="000000"/>
              </w:rPr>
              <w:t>RECOMMENDATIONS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recommendations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pu</w:t>
            </w:r>
            <w:r>
              <w:rPr>
                <w:rFonts w:ascii="Calibri" w:hAnsi="Calibri" w:cs="Calibri"/>
                <w:color w:val="000000"/>
              </w:rPr>
              <w:t>blished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DGCA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u w:val="single"/>
              </w:rPr>
              <w:t>AMP TASKS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M.A.302(f)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PRE-FLIGHT AND ROUTINE MAINTENANCE TASKS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Pre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-Flight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Tasks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that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accomplished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by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Staff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Routine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Tasks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that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accomplished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by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Staff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AMC M.A.302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MAINTENANCE TASKS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Detailed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listing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tasks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periods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intervals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frequencies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) at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which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each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part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aircraft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engines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APU’s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propellers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components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accessories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equipment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instruments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electrical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radio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apparatus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together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with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associated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systems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installations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should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be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maintained</w:t>
            </w:r>
            <w:proofErr w:type="spellEnd"/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lastRenderedPageBreak/>
              <w:t>AMC M.A.302</w:t>
            </w:r>
            <w:r w:rsidRPr="0000315F">
              <w:rPr>
                <w:rFonts w:ascii="Calibri" w:hAnsi="Calibri" w:cs="Calibri"/>
                <w:color w:val="000000"/>
              </w:rPr>
              <w:br/>
              <w:t>AMC M.A.502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1.1.11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1.1.16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COMPONENTS MAINTENANCE AND OVERHAUL PROGRAM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Detailed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listing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tasks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periods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intervals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frequencies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) at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which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components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should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be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checked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cleaned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lubricated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replenished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adjusted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tested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overhauled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and/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replaced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by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new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overhauled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components</w:t>
            </w:r>
            <w:proofErr w:type="spellEnd"/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STRUCTURAL MAINTENANCE PROGRAM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Damage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Tolerance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Supplemental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Structural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Inspection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Programmes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Corrosion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Prevention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Control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Programme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(CPCP)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Approved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Damage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Tolerance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(DTI)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repairs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modifications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Widespread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Fatigue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Damage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(Limit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Validity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e)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 xml:space="preserve">Plan </w:t>
            </w:r>
            <w:proofErr w:type="spellStart"/>
            <w:r w:rsidRPr="0000315F">
              <w:rPr>
                <w:rFonts w:ascii="Calibri" w:hAnsi="Calibri" w:cs="Calibri"/>
              </w:rPr>
              <w:t>to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obtain</w:t>
            </w:r>
            <w:proofErr w:type="spellEnd"/>
            <w:r w:rsidRPr="0000315F">
              <w:rPr>
                <w:rFonts w:ascii="Calibri" w:hAnsi="Calibri" w:cs="Calibri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</w:rPr>
              <w:t>implement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all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the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applicable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Damage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Tolerance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gramStart"/>
            <w:r w:rsidRPr="0000315F">
              <w:rPr>
                <w:rFonts w:ascii="Calibri" w:hAnsi="Calibri" w:cs="Calibri"/>
              </w:rPr>
              <w:t>data</w:t>
            </w:r>
            <w:proofErr w:type="gram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for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existing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Major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Mods</w:t>
            </w:r>
            <w:proofErr w:type="spellEnd"/>
            <w:r w:rsidRPr="0000315F">
              <w:rPr>
                <w:rFonts w:ascii="Calibri" w:hAnsi="Calibri" w:cs="Calibri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</w:rPr>
              <w:t>Reinforcing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Repairs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affecting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the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Fatigue</w:t>
            </w:r>
            <w:proofErr w:type="spellEnd"/>
            <w:r w:rsidRPr="0000315F">
              <w:rPr>
                <w:rFonts w:ascii="Calibri" w:hAnsi="Calibri" w:cs="Calibri"/>
              </w:rPr>
              <w:t xml:space="preserve"> Critical </w:t>
            </w:r>
            <w:proofErr w:type="spellStart"/>
            <w:r w:rsidRPr="0000315F">
              <w:rPr>
                <w:rFonts w:ascii="Calibri" w:hAnsi="Calibri" w:cs="Calibri"/>
              </w:rPr>
              <w:t>Structure</w:t>
            </w:r>
            <w:proofErr w:type="spellEnd"/>
            <w:r w:rsidRPr="0000315F">
              <w:rPr>
                <w:rFonts w:ascii="Calibri" w:hAnsi="Calibri" w:cs="Calibri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</w:rPr>
              <w:t>which</w:t>
            </w:r>
            <w:proofErr w:type="spellEnd"/>
            <w:r w:rsidRPr="0000315F">
              <w:rPr>
                <w:rFonts w:ascii="Calibri" w:hAnsi="Calibri" w:cs="Calibri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</w:rPr>
              <w:t>are</w:t>
            </w:r>
            <w:proofErr w:type="spellEnd"/>
            <w:r w:rsidRPr="0000315F">
              <w:rPr>
                <w:rFonts w:ascii="Calibri" w:hAnsi="Calibri" w:cs="Calibri"/>
              </w:rPr>
              <w:t xml:space="preserve"> not yet </w:t>
            </w:r>
            <w:proofErr w:type="spellStart"/>
            <w:r w:rsidRPr="0000315F">
              <w:rPr>
                <w:rFonts w:ascii="Calibri" w:hAnsi="Calibri" w:cs="Calibri"/>
              </w:rPr>
              <w:t>included</w:t>
            </w:r>
            <w:proofErr w:type="spellEnd"/>
            <w:r w:rsidRPr="0000315F">
              <w:rPr>
                <w:rFonts w:ascii="Calibri" w:hAnsi="Calibri" w:cs="Calibri"/>
              </w:rPr>
              <w:t xml:space="preserve"> in </w:t>
            </w:r>
            <w:proofErr w:type="spellStart"/>
            <w:r w:rsidRPr="0000315F">
              <w:rPr>
                <w:rFonts w:ascii="Calibri" w:hAnsi="Calibri" w:cs="Calibri"/>
              </w:rPr>
              <w:t>the</w:t>
            </w:r>
            <w:proofErr w:type="spellEnd"/>
            <w:r w:rsidRPr="0000315F">
              <w:rPr>
                <w:rFonts w:ascii="Calibri" w:hAnsi="Calibri" w:cs="Calibri"/>
              </w:rPr>
              <w:t xml:space="preserve"> AMP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5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u w:val="single"/>
              </w:rPr>
              <w:t>AMP REVIEW, AMENDMENTS AND APPROVAL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M.A.302</w:t>
            </w:r>
            <w:r w:rsidRPr="0000315F">
              <w:rPr>
                <w:rFonts w:ascii="Calibri" w:hAnsi="Calibri" w:cs="Calibri"/>
                <w:color w:val="000000"/>
              </w:rPr>
              <w:br/>
              <w:t xml:space="preserve">AMC M.A.302 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5.1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5.2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CONTENT OF THE PERIODIC REVIEW</w:t>
            </w:r>
            <w:r w:rsidRPr="0000315F">
              <w:rPr>
                <w:rFonts w:ascii="Calibri" w:hAnsi="Calibri" w:cs="Calibri"/>
                <w:color w:val="000000"/>
              </w:rPr>
              <w:br/>
              <w:t xml:space="preserve">(minimum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list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New/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modified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by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TCH/STCH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New/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modified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mandatory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requirements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Revisions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MRBR/MPD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if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Current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TCH/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STCH’s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recommendations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e)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Modification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repairs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which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require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additional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instructions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f)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In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-service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experience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g)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needs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aircraft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h)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Changes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type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specificity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operations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i)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Changes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aircraft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utilisation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PERIODIC REVIEW FREQUENCY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Statement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regarding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selected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frequency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Periodic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Review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any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additional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deviation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lastRenderedPageBreak/>
              <w:t>AMC M.A.302(d)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ESCALATION OF ESTABLISHED TASK INTERVALS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Procedures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permanent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escalation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established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check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task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intervals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periods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where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</w:t>
            </w:r>
            <w:r w:rsidR="004A3C18">
              <w:rPr>
                <w:rFonts w:ascii="Calibri" w:hAnsi="Calibri" w:cs="Calibri"/>
                <w:color w:val="000000"/>
              </w:rPr>
              <w:t>pplicable</w:t>
            </w:r>
            <w:proofErr w:type="spellEnd"/>
            <w:r w:rsidR="004A3C18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="004A3C18">
              <w:rPr>
                <w:rFonts w:ascii="Calibri" w:hAnsi="Calibri" w:cs="Calibri"/>
                <w:color w:val="000000"/>
              </w:rPr>
              <w:t>acceptable</w:t>
            </w:r>
            <w:proofErr w:type="spellEnd"/>
            <w:r w:rsidR="004A3C1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A3C18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="004A3C18">
              <w:rPr>
                <w:rFonts w:ascii="Calibri" w:hAnsi="Calibri" w:cs="Calibri"/>
                <w:color w:val="000000"/>
              </w:rPr>
              <w:t xml:space="preserve"> SHGM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Statement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that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no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intervals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periods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escalation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is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permitted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without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explicit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approval</w:t>
            </w:r>
            <w:proofErr w:type="spellEnd"/>
            <w:r w:rsidR="004A3C1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A3C18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="004A3C18"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 w:rsidR="004A3C18">
              <w:rPr>
                <w:rFonts w:ascii="Calibri" w:hAnsi="Calibri" w:cs="Calibri"/>
                <w:color w:val="000000"/>
              </w:rPr>
              <w:t>procedure</w:t>
            </w:r>
            <w:proofErr w:type="spellEnd"/>
            <w:r w:rsidR="004A3C1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A3C18">
              <w:rPr>
                <w:rFonts w:ascii="Calibri" w:hAnsi="Calibri" w:cs="Calibri"/>
                <w:color w:val="000000"/>
              </w:rPr>
              <w:t>approved</w:t>
            </w:r>
            <w:proofErr w:type="spellEnd"/>
            <w:r w:rsidR="004A3C1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A3C18">
              <w:rPr>
                <w:rFonts w:ascii="Calibri" w:hAnsi="Calibri" w:cs="Calibri"/>
                <w:color w:val="000000"/>
              </w:rPr>
              <w:t>by</w:t>
            </w:r>
            <w:proofErr w:type="spellEnd"/>
            <w:r w:rsidR="004A3C18">
              <w:rPr>
                <w:rFonts w:ascii="Calibri" w:hAnsi="Calibri" w:cs="Calibri"/>
                <w:color w:val="000000"/>
              </w:rPr>
              <w:t xml:space="preserve"> SHGM</w:t>
            </w:r>
            <w:r w:rsidRPr="0000315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A330B">
              <w:rPr>
                <w:rFonts w:ascii="Calibri" w:hAnsi="Calibri" w:cs="Calibri"/>
                <w:color w:val="000000"/>
              </w:rPr>
              <w:t>Identification</w:t>
            </w:r>
            <w:proofErr w:type="spellEnd"/>
            <w:r w:rsidRPr="00BA330B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BA330B">
              <w:rPr>
                <w:rFonts w:ascii="Calibri" w:hAnsi="Calibri" w:cs="Calibri"/>
                <w:color w:val="000000"/>
              </w:rPr>
              <w:t>listing</w:t>
            </w:r>
            <w:proofErr w:type="spellEnd"/>
            <w:r w:rsidRPr="00BA330B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BA330B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BA33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A330B">
              <w:rPr>
                <w:rFonts w:ascii="Calibri" w:hAnsi="Calibri" w:cs="Calibri"/>
                <w:color w:val="000000"/>
              </w:rPr>
              <w:t>escalated</w:t>
            </w:r>
            <w:proofErr w:type="spellEnd"/>
            <w:r w:rsidRPr="00BA33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A330B">
              <w:rPr>
                <w:rFonts w:ascii="Calibri" w:hAnsi="Calibri" w:cs="Calibri"/>
                <w:color w:val="000000"/>
              </w:rPr>
              <w:t>tasks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M.A.302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3.1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AMP AMENDMENTS PROCEDURE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Traceability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control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AMP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changes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List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reasons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AMP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changes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Format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AMP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amendment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document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d)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Responsibilities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timeframe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different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phases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lastRenderedPageBreak/>
              <w:t>M.A.302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3.1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AMP APPROVAL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4A3C18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Description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approval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SHGM</w:t>
            </w:r>
            <w:r w:rsidR="00377B89" w:rsidRPr="0000315F">
              <w:rPr>
                <w:rFonts w:ascii="Calibri" w:hAnsi="Calibri" w:cs="Calibri"/>
                <w:color w:val="000000"/>
              </w:rPr>
              <w:t xml:space="preserve"> (Direct </w:t>
            </w:r>
            <w:proofErr w:type="spellStart"/>
            <w:r w:rsidR="00377B89" w:rsidRPr="0000315F">
              <w:rPr>
                <w:rFonts w:ascii="Calibri" w:hAnsi="Calibri" w:cs="Calibri"/>
                <w:color w:val="000000"/>
              </w:rPr>
              <w:t>Approval</w:t>
            </w:r>
            <w:proofErr w:type="spellEnd"/>
            <w:r w:rsidR="00377B89"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Description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approval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by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CAMO (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Indirect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Approval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00315F">
              <w:rPr>
                <w:rFonts w:ascii="Calibri" w:hAnsi="Calibri" w:cs="Calibri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u w:val="single"/>
              </w:rPr>
              <w:t>PERMITTED VARIATIONS TO MAINTENANCE PERIODS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AMC M.A.302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GENERAL RULES FOR PERMITTED VARIATIONS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SHGM</w:t>
            </w:r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recommended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maximum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allowed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variations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Exceptions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Permitted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Variations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54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0315F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A82A15" w:rsidRDefault="00377B89" w:rsidP="00377B8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82A15">
              <w:rPr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center"/>
            <w:hideMark/>
          </w:tcPr>
          <w:p w:rsidR="00377B89" w:rsidRPr="00A82A15" w:rsidRDefault="00377B89" w:rsidP="00377B89">
            <w:pPr>
              <w:jc w:val="center"/>
              <w:rPr>
                <w:rFonts w:ascii="Calibri" w:hAnsi="Calibri" w:cs="Calibri"/>
              </w:rPr>
            </w:pPr>
            <w:r w:rsidRPr="00A82A15">
              <w:rPr>
                <w:rFonts w:ascii="Calibri" w:hAnsi="Calibri" w:cs="Calibri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0315F">
              <w:rPr>
                <w:rFonts w:ascii="Calibri" w:hAnsi="Calibri" w:cs="Calibri"/>
                <w:b/>
                <w:bCs/>
                <w:color w:val="000000"/>
                <w:u w:val="single"/>
              </w:rPr>
              <w:t>RELIABILITY PROGRAMME AND REPORTING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377B89" w:rsidRPr="00A82A15" w:rsidRDefault="00377B89" w:rsidP="00377B89">
            <w:pPr>
              <w:jc w:val="center"/>
              <w:rPr>
                <w:rFonts w:ascii="Calibri" w:hAnsi="Calibri" w:cs="Calibri"/>
              </w:rPr>
            </w:pP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M.A.302</w:t>
            </w:r>
            <w:r w:rsidRPr="0000315F">
              <w:rPr>
                <w:rFonts w:ascii="Calibri" w:hAnsi="Calibri" w:cs="Calibri"/>
                <w:color w:val="000000"/>
              </w:rPr>
              <w:br/>
              <w:t>AMC M.A.302(d)</w:t>
            </w:r>
            <w:r w:rsidRPr="0000315F">
              <w:rPr>
                <w:rFonts w:ascii="Calibri" w:hAnsi="Calibri" w:cs="Calibri"/>
                <w:color w:val="000000"/>
              </w:rPr>
              <w:br/>
              <w:t>AMC M.A.302(g)</w:t>
            </w:r>
            <w:r w:rsidRPr="0000315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1.1.18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RELIABILITY PROGRAMMES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Brief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description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Reference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CAME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paragraph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lastRenderedPageBreak/>
              <w:t>Appendix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2.2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 xml:space="preserve">REPORTING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7B89" w:rsidRPr="0000315F" w:rsidTr="001E163D">
        <w:trPr>
          <w:cantSplit/>
          <w:trHeight w:val="624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0315F">
              <w:rPr>
                <w:rFonts w:ascii="Calibri" w:hAnsi="Calibri" w:cs="Calibri"/>
                <w:color w:val="000000"/>
              </w:rPr>
              <w:t>Details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on how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occurrence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reporting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is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performed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specifically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scheduled</w:t>
            </w:r>
            <w:proofErr w:type="spellEnd"/>
            <w:r w:rsidRPr="0000315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0315F">
              <w:rPr>
                <w:rFonts w:ascii="Calibri" w:hAnsi="Calibri" w:cs="Calibri"/>
                <w:color w:val="000000"/>
              </w:rPr>
              <w:t>maintenance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7B89" w:rsidRPr="0000315F" w:rsidRDefault="00377B89" w:rsidP="00377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00315F">
              <w:rPr>
                <w:rFonts w:ascii="Calibri" w:hAnsi="Calibri" w:cs="Calibri"/>
                <w:color w:val="000000"/>
              </w:rPr>
              <w:t> </w:t>
            </w:r>
          </w:p>
        </w:tc>
      </w:tr>
      <w:bookmarkEnd w:id="0"/>
    </w:tbl>
    <w:p w:rsidR="00377B89" w:rsidRPr="0081790E" w:rsidRDefault="00377B89" w:rsidP="00377B89">
      <w:pPr>
        <w:pStyle w:val="Regular"/>
        <w:rPr>
          <w:rFonts w:asciiTheme="minorHAnsi" w:hAnsiTheme="minorHAnsi" w:cstheme="minorHAnsi"/>
        </w:rPr>
      </w:pPr>
    </w:p>
    <w:p w:rsidR="00377B89" w:rsidRDefault="00377B89" w:rsidP="00377B89"/>
    <w:p w:rsidR="00A82A15" w:rsidRDefault="00A82A15" w:rsidP="00377B89"/>
    <w:p w:rsidR="00377B89" w:rsidRDefault="00377B89" w:rsidP="00377B89"/>
    <w:sectPr w:rsidR="00377B89" w:rsidSect="002E6CDF">
      <w:headerReference w:type="default" r:id="rId6"/>
      <w:footerReference w:type="default" r:id="rId7"/>
      <w:pgSz w:w="16834" w:h="11909" w:orient="landscape" w:code="9"/>
      <w:pgMar w:top="214" w:right="431" w:bottom="936" w:left="426" w:header="144" w:footer="227" w:gutter="0"/>
      <w:paperSrc w:first="15" w:other="15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B6" w:rsidRDefault="00684FB6" w:rsidP="00250A90">
      <w:pPr>
        <w:spacing w:after="0" w:line="240" w:lineRule="auto"/>
      </w:pPr>
      <w:r>
        <w:separator/>
      </w:r>
    </w:p>
  </w:endnote>
  <w:endnote w:type="continuationSeparator" w:id="0">
    <w:p w:rsidR="00684FB6" w:rsidRDefault="00684FB6" w:rsidP="0025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99"/>
      <w:gridCol w:w="7978"/>
    </w:tblGrid>
    <w:tr w:rsidR="001E163D" w:rsidTr="0008798E">
      <w:trPr>
        <w:trHeight w:hRule="exact" w:val="115"/>
        <w:jc w:val="center"/>
      </w:trPr>
      <w:tc>
        <w:tcPr>
          <w:tcW w:w="7999" w:type="dxa"/>
          <w:shd w:val="clear" w:color="auto" w:fill="5B9BD5" w:themeFill="accent1"/>
          <w:tcMar>
            <w:top w:w="0" w:type="dxa"/>
            <w:bottom w:w="0" w:type="dxa"/>
          </w:tcMar>
        </w:tcPr>
        <w:p w:rsidR="001E163D" w:rsidRDefault="001E163D">
          <w:pPr>
            <w:pStyle w:val="stBilgi"/>
            <w:rPr>
              <w:caps/>
              <w:sz w:val="18"/>
            </w:rPr>
          </w:pPr>
        </w:p>
      </w:tc>
      <w:tc>
        <w:tcPr>
          <w:tcW w:w="7978" w:type="dxa"/>
          <w:shd w:val="clear" w:color="auto" w:fill="5B9BD5" w:themeFill="accent1"/>
          <w:tcMar>
            <w:top w:w="0" w:type="dxa"/>
            <w:bottom w:w="0" w:type="dxa"/>
          </w:tcMar>
        </w:tcPr>
        <w:p w:rsidR="001E163D" w:rsidRDefault="001E163D">
          <w:pPr>
            <w:pStyle w:val="stBilgi"/>
            <w:jc w:val="right"/>
            <w:rPr>
              <w:caps/>
              <w:sz w:val="18"/>
            </w:rPr>
          </w:pPr>
        </w:p>
      </w:tc>
    </w:tr>
    <w:tr w:rsidR="001E163D" w:rsidTr="0008798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688142CBECBD4341BEA4C3A272FC03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999" w:type="dxa"/>
              <w:shd w:val="clear" w:color="auto" w:fill="auto"/>
              <w:vAlign w:val="center"/>
            </w:tcPr>
            <w:p w:rsidR="001E163D" w:rsidRDefault="001E163D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s.e</w:t>
              </w:r>
            </w:p>
          </w:tc>
        </w:sdtContent>
      </w:sdt>
      <w:tc>
        <w:tcPr>
          <w:tcW w:w="7978" w:type="dxa"/>
          <w:shd w:val="clear" w:color="auto" w:fill="auto"/>
          <w:vAlign w:val="center"/>
        </w:tcPr>
        <w:p w:rsidR="001E163D" w:rsidRDefault="001E163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F20ED">
            <w:rPr>
              <w:caps/>
              <w:noProof/>
              <w:color w:val="808080" w:themeColor="background1" w:themeShade="80"/>
              <w:sz w:val="18"/>
              <w:szCs w:val="18"/>
            </w:rPr>
            <w:t>14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="00BF20ED">
            <w:rPr>
              <w:caps/>
              <w:color w:val="808080" w:themeColor="background1" w:themeShade="80"/>
              <w:sz w:val="18"/>
              <w:szCs w:val="18"/>
            </w:rPr>
            <w:t>/14</w:t>
          </w:r>
        </w:p>
      </w:tc>
    </w:tr>
  </w:tbl>
  <w:p w:rsidR="001E163D" w:rsidRDefault="001E163D">
    <w:pPr>
      <w:pStyle w:val="AltBilgi"/>
    </w:pPr>
    <w:r>
      <w:t>Doküman No:</w:t>
    </w:r>
    <w:r w:rsidR="00906A35" w:rsidRPr="00906A35">
      <w:t xml:space="preserve"> </w:t>
    </w:r>
    <w:proofErr w:type="gramStart"/>
    <w:r w:rsidR="00906A35" w:rsidRPr="00701D6E">
      <w:t>SHGM.UED</w:t>
    </w:r>
    <w:proofErr w:type="gramEnd"/>
    <w:r w:rsidR="00906A35" w:rsidRPr="00701D6E">
      <w:t>.48082085.FR.229L</w:t>
    </w:r>
    <w:r w:rsidR="00906A35">
      <w:t xml:space="preserve">            </w:t>
    </w:r>
    <w:r>
      <w:t xml:space="preserve"> </w:t>
    </w:r>
    <w:r>
      <w:tab/>
      <w:t xml:space="preserve">  </w:t>
    </w:r>
    <w:r w:rsidR="00CB1B16">
      <w:t xml:space="preserve">          </w:t>
    </w:r>
    <w:r w:rsidR="00906A35">
      <w:t xml:space="preserve">                             </w:t>
    </w:r>
    <w:r w:rsidR="00CB1B16">
      <w:t xml:space="preserve">   Yürürlük Tarihi: 20.09</w:t>
    </w:r>
    <w:r>
      <w:t xml:space="preserve">.2023     </w:t>
    </w:r>
    <w:r w:rsidR="00CB1B16">
      <w:t xml:space="preserve">           </w:t>
    </w:r>
    <w:r w:rsidR="00906A35">
      <w:t xml:space="preserve">                                         </w:t>
    </w:r>
    <w:r w:rsidR="00CB1B16">
      <w:t>Revizyon No/Tarih: 01/09.02</w:t>
    </w:r>
    <w:r>
      <w:t>.2024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B6" w:rsidRDefault="00684FB6" w:rsidP="00250A90">
      <w:pPr>
        <w:spacing w:after="0" w:line="240" w:lineRule="auto"/>
      </w:pPr>
      <w:r>
        <w:separator/>
      </w:r>
    </w:p>
  </w:footnote>
  <w:footnote w:type="continuationSeparator" w:id="0">
    <w:p w:rsidR="00684FB6" w:rsidRDefault="00684FB6" w:rsidP="0025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0" w:type="pct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2"/>
      <w:gridCol w:w="14072"/>
    </w:tblGrid>
    <w:tr w:rsidR="001E163D" w:rsidTr="004E75DC">
      <w:tc>
        <w:tcPr>
          <w:tcW w:w="48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1E163D" w:rsidRDefault="001E163D" w:rsidP="00250A90">
          <w:pPr>
            <w:spacing w:before="57" w:after="45" w:line="240" w:lineRule="atLeast"/>
            <w:ind w:left="-392"/>
            <w:rPr>
              <w:rFonts w:ascii="Calibri" w:eastAsia="Calibri" w:hAnsi="Calibri" w:cs="Calibri"/>
              <w:color w:val="000000"/>
              <w:lang w:val="en-US"/>
            </w:rPr>
          </w:pPr>
        </w:p>
      </w:tc>
      <w:tc>
        <w:tcPr>
          <w:tcW w:w="451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E163D" w:rsidRDefault="001E163D" w:rsidP="00250A90">
          <w:pPr>
            <w:rPr>
              <w:rFonts w:ascii="Calibri" w:eastAsia="Calibri" w:hAnsi="Calibri" w:cs="Calibri"/>
              <w:color w:val="000000"/>
              <w:sz w:val="20"/>
              <w:lang w:val="en-US"/>
            </w:rPr>
          </w:pPr>
        </w:p>
      </w:tc>
    </w:tr>
    <w:tr w:rsidR="001E163D" w:rsidTr="004E75DC">
      <w:tc>
        <w:tcPr>
          <w:tcW w:w="48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1E163D" w:rsidRDefault="001E163D" w:rsidP="00250A90">
          <w:pPr>
            <w:spacing w:before="57" w:after="45" w:line="240" w:lineRule="atLeast"/>
            <w:ind w:left="-108"/>
            <w:rPr>
              <w:rFonts w:ascii="Calibri" w:eastAsia="Calibri" w:hAnsi="Calibri" w:cs="Calibri"/>
              <w:color w:val="000000"/>
              <w:lang w:val="en-US"/>
            </w:rPr>
          </w:pPr>
          <w:r w:rsidRPr="00250A90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inline distT="0" distB="0" distL="0" distR="0" wp14:anchorId="2D8252EC" wp14:editId="7BB4016C">
                <wp:extent cx="888469" cy="438150"/>
                <wp:effectExtent l="0" t="0" r="6985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45" cy="551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140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802"/>
            <w:gridCol w:w="2217"/>
            <w:gridCol w:w="51"/>
          </w:tblGrid>
          <w:tr w:rsidR="001E163D" w:rsidTr="008A456C">
            <w:trPr>
              <w:gridAfter w:val="1"/>
              <w:wAfter w:w="18" w:type="pct"/>
            </w:trPr>
            <w:tc>
              <w:tcPr>
                <w:tcW w:w="4982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:rsidR="001E163D" w:rsidRDefault="001E163D" w:rsidP="00250A90">
                <w:pPr>
                  <w:spacing w:before="45" w:after="45"/>
                  <w:rPr>
                    <w:lang w:val="en-US"/>
                  </w:rPr>
                </w:pPr>
                <w:r w:rsidRPr="001F3BD4">
                  <w:rPr>
                    <w:rFonts w:ascii="Calibri" w:eastAsia="Calibri" w:hAnsi="Calibri" w:cs="Calibri"/>
                    <w:b/>
                    <w:color w:val="000000"/>
                    <w:lang w:val="en-US"/>
                  </w:rPr>
                  <w:t>Directorate General Of Civil Aviation</w:t>
                </w:r>
              </w:p>
            </w:tc>
          </w:tr>
          <w:tr w:rsidR="001E163D" w:rsidTr="008A456C">
            <w:trPr>
              <w:trHeight w:val="731"/>
            </w:trPr>
            <w:tc>
              <w:tcPr>
                <w:tcW w:w="419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  <w:vAlign w:val="center"/>
              </w:tcPr>
              <w:p w:rsidR="001E163D" w:rsidRPr="00032071" w:rsidRDefault="001E163D" w:rsidP="008A456C">
                <w:pPr>
                  <w:pStyle w:val="NormalWeb"/>
                  <w:spacing w:before="0" w:beforeAutospacing="0" w:after="0" w:afterAutospacing="0"/>
                  <w:jc w:val="center"/>
                </w:pPr>
                <w:r w:rsidRPr="00032071">
                  <w:rPr>
                    <w:rFonts w:asciiTheme="minorHAnsi" w:hAnsiTheme="minorHAnsi" w:cstheme="minorHAnsi"/>
                  </w:rPr>
                  <w:t>Aircraft Maintenance Programme (AMP) Compliance Checklist</w:t>
                </w:r>
              </w:p>
            </w:tc>
            <w:tc>
              <w:tcPr>
                <w:tcW w:w="806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1E163D" w:rsidRPr="008A456C" w:rsidRDefault="001E163D" w:rsidP="008A456C">
                <w:pPr>
                  <w:spacing w:before="45" w:after="45"/>
                  <w:jc w:val="center"/>
                  <w:rPr>
                    <w:b/>
                    <w:lang w:val="en-US"/>
                  </w:rPr>
                </w:pPr>
                <w:r w:rsidRPr="008A456C">
                  <w:rPr>
                    <w:b/>
                    <w:lang w:val="en-US"/>
                  </w:rPr>
                  <w:t>Version 0</w:t>
                </w:r>
                <w:r w:rsidR="00CB1B16">
                  <w:rPr>
                    <w:b/>
                    <w:lang w:val="en-US"/>
                  </w:rPr>
                  <w:t>1</w:t>
                </w:r>
              </w:p>
              <w:p w:rsidR="001E163D" w:rsidRPr="008A456C" w:rsidRDefault="00CB1B16" w:rsidP="008A456C">
                <w:pPr>
                  <w:spacing w:before="45" w:after="45"/>
                  <w:jc w:val="center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09.02</w:t>
                </w:r>
                <w:r w:rsidR="001E163D" w:rsidRPr="008A456C">
                  <w:rPr>
                    <w:b/>
                    <w:lang w:val="en-US"/>
                  </w:rPr>
                  <w:t>.2024</w:t>
                </w:r>
              </w:p>
            </w:tc>
          </w:tr>
        </w:tbl>
        <w:p w:rsidR="001E163D" w:rsidRDefault="001E163D" w:rsidP="00250A90">
          <w:pPr>
            <w:rPr>
              <w:rFonts w:ascii="Calibri" w:eastAsia="Calibri" w:hAnsi="Calibri" w:cs="Calibri"/>
              <w:color w:val="000000"/>
              <w:sz w:val="20"/>
              <w:lang w:val="en-US"/>
            </w:rPr>
          </w:pPr>
        </w:p>
      </w:tc>
    </w:tr>
  </w:tbl>
  <w:p w:rsidR="001E163D" w:rsidRPr="00335969" w:rsidRDefault="001E163D" w:rsidP="00250A90">
    <w:pPr>
      <w:pStyle w:val="stBilgi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90"/>
    <w:rsid w:val="00032071"/>
    <w:rsid w:val="000839FC"/>
    <w:rsid w:val="0008798E"/>
    <w:rsid w:val="000C3372"/>
    <w:rsid w:val="000E7FD2"/>
    <w:rsid w:val="0012722F"/>
    <w:rsid w:val="001E163D"/>
    <w:rsid w:val="00230374"/>
    <w:rsid w:val="00250A90"/>
    <w:rsid w:val="0025166C"/>
    <w:rsid w:val="002E6CDF"/>
    <w:rsid w:val="003031CC"/>
    <w:rsid w:val="00335969"/>
    <w:rsid w:val="00377B89"/>
    <w:rsid w:val="003B043D"/>
    <w:rsid w:val="00427ED3"/>
    <w:rsid w:val="004A3C18"/>
    <w:rsid w:val="004A51A1"/>
    <w:rsid w:val="004E75DC"/>
    <w:rsid w:val="00555CD8"/>
    <w:rsid w:val="00684FB6"/>
    <w:rsid w:val="00694B4B"/>
    <w:rsid w:val="008A456C"/>
    <w:rsid w:val="008E2895"/>
    <w:rsid w:val="00906A35"/>
    <w:rsid w:val="00A3725F"/>
    <w:rsid w:val="00A82A15"/>
    <w:rsid w:val="00A90810"/>
    <w:rsid w:val="00B31020"/>
    <w:rsid w:val="00B46B3B"/>
    <w:rsid w:val="00BF20ED"/>
    <w:rsid w:val="00CB1B16"/>
    <w:rsid w:val="00DD4D49"/>
    <w:rsid w:val="00EF0D1A"/>
    <w:rsid w:val="00F01C50"/>
    <w:rsid w:val="00F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A2118"/>
  <w15:chartTrackingRefBased/>
  <w15:docId w15:val="{04AE8883-4EE9-4F7B-BE69-B566056B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0A90"/>
  </w:style>
  <w:style w:type="paragraph" w:styleId="AltBilgi">
    <w:name w:val="footer"/>
    <w:basedOn w:val="Normal"/>
    <w:link w:val="AltBilgiChar"/>
    <w:uiPriority w:val="99"/>
    <w:unhideWhenUsed/>
    <w:rsid w:val="002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0A90"/>
  </w:style>
  <w:style w:type="paragraph" w:styleId="NormalWeb">
    <w:name w:val="Normal (Web)"/>
    <w:basedOn w:val="Normal"/>
    <w:uiPriority w:val="99"/>
    <w:unhideWhenUsed/>
    <w:rsid w:val="0025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egular">
    <w:name w:val="Regular"/>
    <w:rsid w:val="00377B89"/>
    <w:pPr>
      <w:spacing w:after="0" w:line="240" w:lineRule="auto"/>
    </w:pPr>
    <w:rPr>
      <w:rFonts w:ascii="Calibri" w:eastAsia="Calibri" w:hAnsi="Calibri" w:cs="Calibri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377B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8142CBECBD4341BEA4C3A272FC03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B08168-6583-423E-AC77-7B9CD98550D2}"/>
      </w:docPartPr>
      <w:docPartBody>
        <w:p w:rsidR="00A832E9" w:rsidRDefault="00B86523" w:rsidP="00B86523">
          <w:pPr>
            <w:pStyle w:val="688142CBECBD4341BEA4C3A272FC03E8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23"/>
    <w:rsid w:val="00107558"/>
    <w:rsid w:val="00A762F9"/>
    <w:rsid w:val="00A832E9"/>
    <w:rsid w:val="00B86523"/>
    <w:rsid w:val="00D12AD5"/>
    <w:rsid w:val="00E775B1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86523"/>
    <w:rPr>
      <w:color w:val="808080"/>
    </w:rPr>
  </w:style>
  <w:style w:type="paragraph" w:customStyle="1" w:styleId="E5BCBD9FFF124AA89615E916816C614A">
    <w:name w:val="E5BCBD9FFF124AA89615E916816C614A"/>
    <w:rsid w:val="00B86523"/>
  </w:style>
  <w:style w:type="paragraph" w:customStyle="1" w:styleId="688142CBECBD4341BEA4C3A272FC03E8">
    <w:name w:val="688142CBECBD4341BEA4C3A272FC03E8"/>
    <w:rsid w:val="00B86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</dc:creator>
  <cp:keywords/>
  <dc:description/>
  <cp:lastModifiedBy>Sevki Doktur</cp:lastModifiedBy>
  <cp:revision>12</cp:revision>
  <dcterms:created xsi:type="dcterms:W3CDTF">2024-02-06T09:23:00Z</dcterms:created>
  <dcterms:modified xsi:type="dcterms:W3CDTF">2024-02-15T07:08:00Z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user=sedat.ekici</vt:lpwstr>
  </property>
  <property fmtid="{D5CDD505-2E9C-101B-9397-08002B2CF9AE}" pid="4" name="geodilabeltime">
    <vt:lpwstr>datetime=2024-01-24T15:57:12.348Z</vt:lpwstr>
  </property>
</Properties>
</file>