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pStyle w:val="BodyText"/>
        <w:rPr>
          <w:sz w:val="20"/>
        </w:rPr>
      </w:pPr>
    </w:p>
    <w:p>
      <w:pPr>
        <w:pStyle w:val="BodyText"/>
        <w:spacing w:before="4"/>
        <w:rPr>
          <w:sz w:val="11"/>
        </w:rPr>
      </w:pPr>
    </w:p>
    <w:tbl>
      <w:tblPr>
        <w:tblW w:w="0" w:type="auto"/>
        <w:jc w:val="left"/>
        <w:tblInd w:w="118"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520" w:hRule="atLeast"/>
        </w:trPr>
        <w:tc>
          <w:tcPr>
            <w:tcW w:w="1560" w:type="dxa"/>
            <w:tcBorders>
              <w:top w:val="nil"/>
              <w:left w:val="nil"/>
              <w:right w:val="nil"/>
            </w:tcBorders>
            <w:shd w:val="clear" w:color="auto" w:fill="3366FF"/>
          </w:tcPr>
          <w:p>
            <w:pPr>
              <w:pStyle w:val="TableParagraph"/>
              <w:spacing w:before="135"/>
              <w:ind w:left="114" w:right="115"/>
              <w:jc w:val="center"/>
              <w:rPr>
                <w:sz w:val="22"/>
              </w:rPr>
            </w:pPr>
            <w:r>
              <w:rPr>
                <w:color w:val="FFFFFF"/>
                <w:sz w:val="22"/>
              </w:rPr>
              <w:t>Checklist Item</w:t>
            </w:r>
          </w:p>
        </w:tc>
        <w:tc>
          <w:tcPr>
            <w:tcW w:w="1843" w:type="dxa"/>
            <w:tcBorders>
              <w:top w:val="nil"/>
              <w:left w:val="nil"/>
              <w:right w:val="nil"/>
            </w:tcBorders>
            <w:shd w:val="clear" w:color="auto" w:fill="3366FF"/>
          </w:tcPr>
          <w:p>
            <w:pPr>
              <w:pStyle w:val="TableParagraph"/>
              <w:spacing w:before="1"/>
              <w:ind w:left="69"/>
              <w:rPr>
                <w:sz w:val="22"/>
              </w:rPr>
            </w:pPr>
            <w:r>
              <w:rPr>
                <w:color w:val="FFFFFF"/>
                <w:sz w:val="22"/>
              </w:rPr>
              <w:t>Regulatory</w:t>
            </w:r>
          </w:p>
          <w:p>
            <w:pPr>
              <w:pStyle w:val="TableParagraph"/>
              <w:spacing w:line="244" w:lineRule="exact" w:before="16"/>
              <w:ind w:left="69"/>
              <w:rPr>
                <w:sz w:val="22"/>
              </w:rPr>
            </w:pPr>
            <w:r>
              <w:rPr>
                <w:color w:val="FFFFFF"/>
                <w:sz w:val="22"/>
              </w:rPr>
              <w:t>Reference(s)</w:t>
            </w:r>
          </w:p>
        </w:tc>
        <w:tc>
          <w:tcPr>
            <w:tcW w:w="4800" w:type="dxa"/>
            <w:tcBorders>
              <w:top w:val="nil"/>
              <w:left w:val="nil"/>
              <w:right w:val="nil"/>
            </w:tcBorders>
            <w:shd w:val="clear" w:color="auto" w:fill="3366FF"/>
          </w:tcPr>
          <w:p>
            <w:pPr>
              <w:pStyle w:val="TableParagraph"/>
              <w:spacing w:before="135"/>
              <w:ind w:left="2052" w:right="2048"/>
              <w:jc w:val="center"/>
              <w:rPr>
                <w:sz w:val="22"/>
              </w:rPr>
            </w:pPr>
            <w:r>
              <w:rPr>
                <w:color w:val="FFFFFF"/>
                <w:sz w:val="22"/>
              </w:rPr>
              <w:t>Subject</w:t>
            </w:r>
          </w:p>
        </w:tc>
        <w:tc>
          <w:tcPr>
            <w:tcW w:w="497" w:type="dxa"/>
            <w:tcBorders>
              <w:top w:val="nil"/>
              <w:left w:val="nil"/>
              <w:right w:val="nil"/>
            </w:tcBorders>
            <w:shd w:val="clear" w:color="auto" w:fill="3366FF"/>
          </w:tcPr>
          <w:p>
            <w:pPr>
              <w:pStyle w:val="TableParagraph"/>
              <w:spacing w:before="135"/>
              <w:ind w:left="2"/>
              <w:jc w:val="center"/>
              <w:rPr>
                <w:sz w:val="22"/>
              </w:rPr>
            </w:pPr>
            <w:r>
              <w:rPr>
                <w:color w:val="FFFFFF"/>
                <w:w w:val="82"/>
                <w:sz w:val="22"/>
              </w:rPr>
              <w:t>S</w:t>
            </w:r>
          </w:p>
        </w:tc>
        <w:tc>
          <w:tcPr>
            <w:tcW w:w="492" w:type="dxa"/>
            <w:tcBorders>
              <w:top w:val="nil"/>
              <w:left w:val="nil"/>
              <w:right w:val="nil"/>
            </w:tcBorders>
            <w:shd w:val="clear" w:color="auto" w:fill="3366FF"/>
          </w:tcPr>
          <w:p>
            <w:pPr>
              <w:pStyle w:val="TableParagraph"/>
              <w:spacing w:before="135"/>
              <w:ind w:left="81"/>
              <w:rPr>
                <w:sz w:val="22"/>
              </w:rPr>
            </w:pPr>
            <w:r>
              <w:rPr>
                <w:color w:val="FFFFFF"/>
                <w:sz w:val="22"/>
              </w:rPr>
              <w:t>N/S</w:t>
            </w:r>
          </w:p>
        </w:tc>
        <w:tc>
          <w:tcPr>
            <w:tcW w:w="504" w:type="dxa"/>
            <w:tcBorders>
              <w:top w:val="nil"/>
              <w:left w:val="nil"/>
              <w:right w:val="nil"/>
            </w:tcBorders>
            <w:shd w:val="clear" w:color="auto" w:fill="3366FF"/>
          </w:tcPr>
          <w:p>
            <w:pPr>
              <w:pStyle w:val="TableParagraph"/>
              <w:spacing w:before="135"/>
              <w:ind w:left="74"/>
              <w:rPr>
                <w:sz w:val="22"/>
              </w:rPr>
            </w:pPr>
            <w:r>
              <w:rPr>
                <w:color w:val="FFFFFF"/>
                <w:sz w:val="22"/>
              </w:rPr>
              <w:t>N/A</w:t>
            </w:r>
          </w:p>
        </w:tc>
        <w:tc>
          <w:tcPr>
            <w:tcW w:w="487" w:type="dxa"/>
            <w:tcBorders>
              <w:top w:val="nil"/>
              <w:left w:val="nil"/>
              <w:right w:val="nil"/>
            </w:tcBorders>
            <w:shd w:val="clear" w:color="auto" w:fill="3366FF"/>
          </w:tcPr>
          <w:p>
            <w:pPr>
              <w:pStyle w:val="TableParagraph"/>
              <w:spacing w:before="135"/>
              <w:ind w:left="69"/>
              <w:rPr>
                <w:sz w:val="22"/>
              </w:rPr>
            </w:pPr>
            <w:r>
              <w:rPr>
                <w:color w:val="FFFFFF"/>
                <w:sz w:val="22"/>
              </w:rPr>
              <w:t>N/R</w:t>
            </w:r>
          </w:p>
        </w:tc>
        <w:tc>
          <w:tcPr>
            <w:tcW w:w="418" w:type="dxa"/>
            <w:tcBorders>
              <w:top w:val="nil"/>
              <w:left w:val="nil"/>
              <w:right w:val="nil"/>
            </w:tcBorders>
            <w:shd w:val="clear" w:color="auto" w:fill="3366FF"/>
          </w:tcPr>
          <w:p>
            <w:pPr>
              <w:pStyle w:val="TableParagraph"/>
              <w:spacing w:before="135"/>
              <w:ind w:left="69"/>
              <w:rPr>
                <w:sz w:val="22"/>
              </w:rPr>
            </w:pPr>
            <w:r>
              <w:rPr>
                <w:color w:val="FFFFFF"/>
                <w:sz w:val="22"/>
              </w:rPr>
              <w:t>F/L</w:t>
            </w:r>
          </w:p>
        </w:tc>
        <w:tc>
          <w:tcPr>
            <w:tcW w:w="446" w:type="dxa"/>
            <w:tcBorders>
              <w:top w:val="nil"/>
              <w:left w:val="nil"/>
              <w:right w:val="nil"/>
            </w:tcBorders>
            <w:shd w:val="clear" w:color="auto" w:fill="3366FF"/>
          </w:tcPr>
          <w:p>
            <w:pPr>
              <w:pStyle w:val="TableParagraph"/>
              <w:spacing w:before="135"/>
              <w:ind w:left="72"/>
              <w:rPr>
                <w:sz w:val="22"/>
              </w:rPr>
            </w:pPr>
            <w:r>
              <w:rPr>
                <w:color w:val="FFFFFF"/>
                <w:sz w:val="22"/>
              </w:rPr>
              <w:t>R/F</w:t>
            </w:r>
          </w:p>
        </w:tc>
        <w:tc>
          <w:tcPr>
            <w:tcW w:w="4970" w:type="dxa"/>
            <w:tcBorders>
              <w:top w:val="nil"/>
              <w:left w:val="nil"/>
              <w:right w:val="nil"/>
            </w:tcBorders>
            <w:shd w:val="clear" w:color="auto" w:fill="3366FF"/>
          </w:tcPr>
          <w:p>
            <w:pPr>
              <w:pStyle w:val="TableParagraph"/>
              <w:spacing w:before="135"/>
              <w:ind w:left="2074" w:right="2074"/>
              <w:jc w:val="center"/>
              <w:rPr>
                <w:sz w:val="22"/>
              </w:rPr>
            </w:pPr>
            <w:r>
              <w:rPr>
                <w:color w:val="FFFFFF"/>
                <w:sz w:val="22"/>
              </w:rPr>
              <w:t>Remarks</w:t>
            </w:r>
          </w:p>
        </w:tc>
      </w:tr>
      <w:tr>
        <w:trPr>
          <w:trHeight w:val="280" w:hRule="atLeast"/>
        </w:trPr>
        <w:tc>
          <w:tcPr>
            <w:tcW w:w="16018" w:type="dxa"/>
            <w:gridSpan w:val="10"/>
            <w:tcBorders>
              <w:left w:val="single" w:sz="4" w:space="0" w:color="3366FF"/>
              <w:bottom w:val="single" w:sz="4" w:space="0" w:color="3366FF"/>
              <w:right w:val="single" w:sz="4" w:space="0" w:color="3366FF"/>
            </w:tcBorders>
            <w:shd w:val="clear" w:color="auto" w:fill="FFC000"/>
          </w:tcPr>
          <w:p>
            <w:pPr>
              <w:pStyle w:val="TableParagraph"/>
              <w:spacing w:line="252" w:lineRule="exact"/>
              <w:ind w:left="64"/>
              <w:rPr>
                <w:sz w:val="22"/>
              </w:rPr>
            </w:pPr>
            <w:r>
              <w:rPr>
                <w:w w:val="95"/>
                <w:sz w:val="22"/>
              </w:rPr>
              <w:t>CAO.A.015 Başvuru</w:t>
            </w:r>
          </w:p>
        </w:tc>
      </w:tr>
      <w:tr>
        <w:trPr>
          <w:trHeight w:val="40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
              <w:rPr>
                <w:sz w:val="20"/>
              </w:rPr>
            </w:pPr>
          </w:p>
          <w:p>
            <w:pPr>
              <w:pStyle w:val="TableParagraph"/>
              <w:spacing w:before="1"/>
              <w:ind w:left="1"/>
              <w:jc w:val="center"/>
              <w:rPr>
                <w:sz w:val="22"/>
              </w:rPr>
            </w:pPr>
            <w:r>
              <w:rPr>
                <w:w w:val="101"/>
                <w:sz w:val="22"/>
              </w:rPr>
              <w:t>1</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
              <w:rPr>
                <w:sz w:val="20"/>
              </w:rPr>
            </w:pPr>
          </w:p>
          <w:p>
            <w:pPr>
              <w:pStyle w:val="TableParagraph"/>
              <w:spacing w:before="1"/>
              <w:ind w:left="65"/>
              <w:rPr>
                <w:sz w:val="22"/>
              </w:rPr>
            </w:pPr>
            <w:r>
              <w:rPr>
                <w:sz w:val="22"/>
              </w:rPr>
              <w:t>CAO.A.015</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9"/>
              <w:rPr>
                <w:sz w:val="21"/>
              </w:rPr>
            </w:pPr>
          </w:p>
          <w:p>
            <w:pPr>
              <w:pStyle w:val="TableParagraph"/>
              <w:spacing w:line="254" w:lineRule="auto"/>
              <w:ind w:left="64" w:right="60"/>
              <w:jc w:val="both"/>
              <w:rPr>
                <w:sz w:val="22"/>
              </w:rPr>
            </w:pPr>
            <w:r>
              <w:rPr>
                <w:sz w:val="22"/>
              </w:rPr>
              <w:t>Kuruluşlar,</w:t>
            </w:r>
            <w:r>
              <w:rPr>
                <w:spacing w:val="-20"/>
                <w:sz w:val="22"/>
              </w:rPr>
              <w:t> </w:t>
            </w:r>
            <w:r>
              <w:rPr>
                <w:sz w:val="22"/>
              </w:rPr>
              <w:t>Genel</w:t>
            </w:r>
            <w:r>
              <w:rPr>
                <w:spacing w:val="-20"/>
                <w:sz w:val="22"/>
              </w:rPr>
              <w:t> </w:t>
            </w:r>
            <w:r>
              <w:rPr>
                <w:sz w:val="22"/>
              </w:rPr>
              <w:t>Müdürlüğe</w:t>
            </w:r>
            <w:r>
              <w:rPr>
                <w:spacing w:val="-17"/>
                <w:sz w:val="22"/>
              </w:rPr>
              <w:t> </w:t>
            </w:r>
            <w:r>
              <w:rPr>
                <w:sz w:val="22"/>
              </w:rPr>
              <w:t>başvurularında</w:t>
            </w:r>
            <w:r>
              <w:rPr>
                <w:spacing w:val="-18"/>
                <w:sz w:val="22"/>
              </w:rPr>
              <w:t> </w:t>
            </w:r>
            <w:r>
              <w:rPr>
                <w:sz w:val="22"/>
              </w:rPr>
              <w:t>Form</w:t>
            </w:r>
            <w:r>
              <w:rPr>
                <w:spacing w:val="-19"/>
                <w:sz w:val="22"/>
              </w:rPr>
              <w:t> </w:t>
            </w:r>
            <w:r>
              <w:rPr>
                <w:sz w:val="22"/>
              </w:rPr>
              <w:t>2- CAO ve Genel Müdürlük resmi internet sayfasında yayınlanan başvuru formları ile müracaat</w:t>
            </w:r>
            <w:r>
              <w:rPr>
                <w:spacing w:val="46"/>
                <w:sz w:val="22"/>
              </w:rPr>
              <w:t> </w:t>
            </w:r>
            <w:r>
              <w:rPr>
                <w:sz w:val="22"/>
              </w:rPr>
              <w:t>ederler.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spacing w:line="254" w:lineRule="auto" w:before="3"/>
              <w:ind w:left="69" w:right="65"/>
              <w:jc w:val="both"/>
              <w:rPr>
                <w:sz w:val="22"/>
              </w:rPr>
            </w:pPr>
            <w:r>
              <w:rPr>
                <w:color w:val="FFFFFF"/>
                <w:w w:val="105"/>
                <w:sz w:val="22"/>
              </w:rPr>
              <w:t>An</w:t>
            </w:r>
            <w:r>
              <w:rPr>
                <w:color w:val="FFFFFF"/>
                <w:spacing w:val="-9"/>
                <w:w w:val="105"/>
                <w:sz w:val="22"/>
              </w:rPr>
              <w:t> </w:t>
            </w:r>
            <w:r>
              <w:rPr>
                <w:color w:val="FFFFFF"/>
                <w:w w:val="105"/>
                <w:sz w:val="22"/>
              </w:rPr>
              <w:t>application</w:t>
            </w:r>
            <w:r>
              <w:rPr>
                <w:color w:val="FFFFFF"/>
                <w:spacing w:val="-9"/>
                <w:w w:val="105"/>
                <w:sz w:val="22"/>
              </w:rPr>
              <w:t> </w:t>
            </w:r>
            <w:r>
              <w:rPr>
                <w:color w:val="FFFFFF"/>
                <w:w w:val="105"/>
                <w:sz w:val="22"/>
              </w:rPr>
              <w:t>should</w:t>
            </w:r>
            <w:r>
              <w:rPr>
                <w:color w:val="FFFFFF"/>
                <w:spacing w:val="-9"/>
                <w:w w:val="105"/>
                <w:sz w:val="22"/>
              </w:rPr>
              <w:t> </w:t>
            </w:r>
            <w:r>
              <w:rPr>
                <w:color w:val="FFFFFF"/>
                <w:w w:val="105"/>
                <w:sz w:val="22"/>
              </w:rPr>
              <w:t>be</w:t>
            </w:r>
            <w:r>
              <w:rPr>
                <w:color w:val="FFFFFF"/>
                <w:spacing w:val="-9"/>
                <w:w w:val="105"/>
                <w:sz w:val="22"/>
              </w:rPr>
              <w:t> </w:t>
            </w:r>
            <w:r>
              <w:rPr>
                <w:color w:val="FFFFFF"/>
                <w:w w:val="105"/>
                <w:sz w:val="22"/>
              </w:rPr>
              <w:t>made</w:t>
            </w:r>
            <w:r>
              <w:rPr>
                <w:color w:val="FFFFFF"/>
                <w:spacing w:val="-9"/>
                <w:w w:val="105"/>
                <w:sz w:val="22"/>
              </w:rPr>
              <w:t> </w:t>
            </w:r>
            <w:r>
              <w:rPr>
                <w:color w:val="FFFFFF"/>
                <w:w w:val="105"/>
                <w:sz w:val="22"/>
              </w:rPr>
              <w:t>on</w:t>
            </w:r>
            <w:r>
              <w:rPr>
                <w:color w:val="FFFFFF"/>
                <w:spacing w:val="-7"/>
                <w:w w:val="105"/>
                <w:sz w:val="22"/>
              </w:rPr>
              <w:t> </w:t>
            </w:r>
            <w:r>
              <w:rPr>
                <w:color w:val="FFFFFF"/>
                <w:w w:val="105"/>
                <w:sz w:val="22"/>
              </w:rPr>
              <w:t>an</w:t>
            </w:r>
            <w:r>
              <w:rPr>
                <w:color w:val="FFFFFF"/>
                <w:spacing w:val="-9"/>
                <w:w w:val="105"/>
                <w:sz w:val="22"/>
              </w:rPr>
              <w:t> </w:t>
            </w:r>
            <w:r>
              <w:rPr>
                <w:color w:val="FFFFFF"/>
                <w:w w:val="105"/>
                <w:sz w:val="22"/>
              </w:rPr>
              <w:t>SHGM</w:t>
            </w:r>
            <w:r>
              <w:rPr>
                <w:color w:val="FFFFFF"/>
                <w:spacing w:val="-7"/>
                <w:w w:val="105"/>
                <w:sz w:val="22"/>
              </w:rPr>
              <w:t> </w:t>
            </w:r>
            <w:r>
              <w:rPr>
                <w:color w:val="FFFFFF"/>
                <w:w w:val="105"/>
                <w:sz w:val="22"/>
              </w:rPr>
              <w:t>Form</w:t>
            </w:r>
            <w:r>
              <w:rPr>
                <w:color w:val="FFFFFF"/>
                <w:spacing w:val="-9"/>
                <w:w w:val="105"/>
                <w:sz w:val="22"/>
              </w:rPr>
              <w:t> </w:t>
            </w:r>
            <w:r>
              <w:rPr>
                <w:color w:val="FFFFFF"/>
                <w:w w:val="105"/>
                <w:sz w:val="22"/>
              </w:rPr>
              <w:t>2 (Appendix</w:t>
            </w:r>
            <w:r>
              <w:rPr>
                <w:color w:val="FFFFFF"/>
                <w:spacing w:val="-26"/>
                <w:w w:val="105"/>
                <w:sz w:val="22"/>
              </w:rPr>
              <w:t> </w:t>
            </w:r>
            <w:r>
              <w:rPr>
                <w:color w:val="FFFFFF"/>
                <w:w w:val="105"/>
                <w:sz w:val="22"/>
              </w:rPr>
              <w:t>III</w:t>
            </w:r>
            <w:r>
              <w:rPr>
                <w:color w:val="FFFFFF"/>
                <w:spacing w:val="-27"/>
                <w:w w:val="105"/>
                <w:sz w:val="22"/>
              </w:rPr>
              <w:t> </w:t>
            </w:r>
            <w:r>
              <w:rPr>
                <w:color w:val="FFFFFF"/>
                <w:w w:val="105"/>
                <w:sz w:val="22"/>
              </w:rPr>
              <w:t>to</w:t>
            </w:r>
            <w:r>
              <w:rPr>
                <w:color w:val="FFFFFF"/>
                <w:spacing w:val="-25"/>
                <w:w w:val="105"/>
                <w:sz w:val="22"/>
              </w:rPr>
              <w:t> </w:t>
            </w:r>
            <w:r>
              <w:rPr>
                <w:color w:val="FFFFFF"/>
                <w:w w:val="105"/>
                <w:sz w:val="22"/>
              </w:rPr>
              <w:t>AMC1</w:t>
            </w:r>
            <w:r>
              <w:rPr>
                <w:color w:val="FFFFFF"/>
                <w:spacing w:val="-27"/>
                <w:w w:val="105"/>
                <w:sz w:val="22"/>
              </w:rPr>
              <w:t> </w:t>
            </w:r>
            <w:r>
              <w:rPr>
                <w:color w:val="FFFFFF"/>
                <w:w w:val="105"/>
                <w:sz w:val="22"/>
              </w:rPr>
              <w:t>CAO.A.015)</w:t>
            </w:r>
            <w:r>
              <w:rPr>
                <w:color w:val="FFFFFF"/>
                <w:spacing w:val="-27"/>
                <w:w w:val="105"/>
                <w:sz w:val="22"/>
              </w:rPr>
              <w:t> </w:t>
            </w:r>
            <w:r>
              <w:rPr>
                <w:color w:val="FFFFFF"/>
                <w:w w:val="105"/>
                <w:sz w:val="22"/>
              </w:rPr>
              <w:t>or</w:t>
            </w:r>
            <w:r>
              <w:rPr>
                <w:color w:val="FFFFFF"/>
                <w:spacing w:val="-26"/>
                <w:w w:val="105"/>
                <w:sz w:val="22"/>
              </w:rPr>
              <w:t> </w:t>
            </w:r>
            <w:r>
              <w:rPr>
                <w:color w:val="FFFFFF"/>
                <w:w w:val="105"/>
                <w:sz w:val="22"/>
              </w:rPr>
              <w:t>an</w:t>
            </w:r>
            <w:r>
              <w:rPr>
                <w:color w:val="FFFFFF"/>
                <w:spacing w:val="-27"/>
                <w:w w:val="105"/>
                <w:sz w:val="22"/>
              </w:rPr>
              <w:t> </w:t>
            </w:r>
            <w:r>
              <w:rPr>
                <w:color w:val="FFFFFF"/>
                <w:w w:val="105"/>
                <w:sz w:val="22"/>
              </w:rPr>
              <w:t>equivalent form that is acceptable to the competent authority. Draft documents should be submitted at the earliest opportunity so that the assessment  of  the application can begin. The initial certification or approval of changes cannot take place until the competent authority has received the completed documents.</w:t>
            </w:r>
          </w:p>
        </w:tc>
      </w:tr>
      <w:tr>
        <w:trPr>
          <w:trHeight w:val="280" w:hRule="atLeast"/>
        </w:trPr>
        <w:tc>
          <w:tcPr>
            <w:tcW w:w="16018" w:type="dxa"/>
            <w:gridSpan w:val="10"/>
            <w:tcBorders>
              <w:top w:val="single" w:sz="4" w:space="0" w:color="3366FF"/>
              <w:left w:val="single" w:sz="4" w:space="0" w:color="3366FF"/>
              <w:bottom w:val="single" w:sz="4" w:space="0" w:color="3366FF"/>
              <w:right w:val="single" w:sz="4" w:space="0" w:color="3366FF"/>
            </w:tcBorders>
            <w:shd w:val="clear" w:color="auto" w:fill="FFC000"/>
          </w:tcPr>
          <w:p>
            <w:pPr>
              <w:pStyle w:val="TableParagraph"/>
              <w:spacing w:before="1"/>
              <w:ind w:left="64"/>
              <w:rPr>
                <w:sz w:val="22"/>
              </w:rPr>
            </w:pPr>
            <w:r>
              <w:rPr>
                <w:w w:val="95"/>
                <w:sz w:val="22"/>
              </w:rPr>
              <w:t>CAO.A.020 Onay koşulları</w:t>
            </w:r>
          </w:p>
        </w:tc>
      </w:tr>
      <w:tr>
        <w:trPr>
          <w:trHeight w:val="202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7"/>
              <w:rPr>
                <w:sz w:val="28"/>
              </w:rPr>
            </w:pPr>
          </w:p>
          <w:p>
            <w:pPr>
              <w:pStyle w:val="TableParagraph"/>
              <w:ind w:left="1"/>
              <w:jc w:val="center"/>
              <w:rPr>
                <w:sz w:val="22"/>
              </w:rPr>
            </w:pPr>
            <w:r>
              <w:rPr>
                <w:w w:val="101"/>
                <w:sz w:val="22"/>
              </w:rPr>
              <w:t>2</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7"/>
              <w:rPr>
                <w:sz w:val="28"/>
              </w:rPr>
            </w:pPr>
          </w:p>
          <w:p>
            <w:pPr>
              <w:pStyle w:val="TableParagraph"/>
              <w:ind w:left="65"/>
              <w:rPr>
                <w:sz w:val="22"/>
              </w:rPr>
            </w:pPr>
            <w:r>
              <w:rPr>
                <w:w w:val="90"/>
                <w:sz w:val="22"/>
              </w:rPr>
              <w:t>CAO.A.020 (a)</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3"/>
              <w:rPr>
                <w:sz w:val="29"/>
              </w:rPr>
            </w:pPr>
          </w:p>
          <w:p>
            <w:pPr>
              <w:pStyle w:val="TableParagraph"/>
              <w:spacing w:line="254" w:lineRule="auto"/>
              <w:ind w:left="64" w:right="59"/>
              <w:jc w:val="both"/>
              <w:rPr>
                <w:sz w:val="22"/>
              </w:rPr>
            </w:pPr>
            <w:r>
              <w:rPr>
                <w:sz w:val="22"/>
              </w:rPr>
              <w:t>Kuruluş, onay kapsamını, CAO.A.025 maddesine göre hazırladığı birleşik uçuşa elverişlilik el kitabı </w:t>
            </w:r>
            <w:r>
              <w:rPr>
                <w:w w:val="95"/>
                <w:sz w:val="22"/>
              </w:rPr>
              <w:t>(CAE) içerisinde tanımlar.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spacing w:line="254" w:lineRule="auto" w:before="1"/>
              <w:ind w:left="69" w:right="66"/>
              <w:jc w:val="both"/>
              <w:rPr>
                <w:sz w:val="22"/>
              </w:rPr>
            </w:pPr>
            <w:r>
              <w:rPr>
                <w:color w:val="FFFFFF"/>
                <w:w w:val="105"/>
                <w:sz w:val="22"/>
              </w:rPr>
              <w:t>Each</w:t>
            </w:r>
            <w:r>
              <w:rPr>
                <w:color w:val="FFFFFF"/>
                <w:spacing w:val="-25"/>
                <w:w w:val="105"/>
                <w:sz w:val="22"/>
              </w:rPr>
              <w:t> </w:t>
            </w:r>
            <w:r>
              <w:rPr>
                <w:color w:val="FFFFFF"/>
                <w:w w:val="105"/>
                <w:sz w:val="22"/>
              </w:rPr>
              <w:t>category</w:t>
            </w:r>
            <w:r>
              <w:rPr>
                <w:color w:val="FFFFFF"/>
                <w:spacing w:val="-27"/>
                <w:w w:val="105"/>
                <w:sz w:val="22"/>
              </w:rPr>
              <w:t> </w:t>
            </w:r>
            <w:r>
              <w:rPr>
                <w:color w:val="FFFFFF"/>
                <w:w w:val="105"/>
                <w:sz w:val="22"/>
              </w:rPr>
              <w:t>or</w:t>
            </w:r>
            <w:r>
              <w:rPr>
                <w:color w:val="FFFFFF"/>
                <w:spacing w:val="-26"/>
                <w:w w:val="105"/>
                <w:sz w:val="22"/>
              </w:rPr>
              <w:t> </w:t>
            </w:r>
            <w:r>
              <w:rPr>
                <w:color w:val="FFFFFF"/>
                <w:w w:val="105"/>
                <w:sz w:val="22"/>
              </w:rPr>
              <w:t>type</w:t>
            </w:r>
            <w:r>
              <w:rPr>
                <w:color w:val="FFFFFF"/>
                <w:spacing w:val="-26"/>
                <w:w w:val="105"/>
                <w:sz w:val="22"/>
              </w:rPr>
              <w:t> </w:t>
            </w:r>
            <w:r>
              <w:rPr>
                <w:color w:val="FFFFFF"/>
                <w:w w:val="105"/>
                <w:sz w:val="22"/>
              </w:rPr>
              <w:t>of</w:t>
            </w:r>
            <w:r>
              <w:rPr>
                <w:color w:val="FFFFFF"/>
                <w:spacing w:val="-25"/>
                <w:w w:val="105"/>
                <w:sz w:val="22"/>
              </w:rPr>
              <w:t> </w:t>
            </w:r>
            <w:r>
              <w:rPr>
                <w:color w:val="FFFFFF"/>
                <w:w w:val="105"/>
                <w:sz w:val="22"/>
              </w:rPr>
              <w:t>aircraft</w:t>
            </w:r>
            <w:r>
              <w:rPr>
                <w:color w:val="FFFFFF"/>
                <w:spacing w:val="-24"/>
                <w:w w:val="105"/>
                <w:sz w:val="22"/>
              </w:rPr>
              <w:t> </w:t>
            </w:r>
            <w:r>
              <w:rPr>
                <w:color w:val="FFFFFF"/>
                <w:w w:val="105"/>
                <w:sz w:val="22"/>
              </w:rPr>
              <w:t>specified</w:t>
            </w:r>
            <w:r>
              <w:rPr>
                <w:color w:val="FFFFFF"/>
                <w:spacing w:val="-25"/>
                <w:w w:val="105"/>
                <w:sz w:val="22"/>
              </w:rPr>
              <w:t> </w:t>
            </w:r>
            <w:r>
              <w:rPr>
                <w:color w:val="FFFFFF"/>
                <w:w w:val="105"/>
                <w:sz w:val="22"/>
              </w:rPr>
              <w:t>in</w:t>
            </w:r>
            <w:r>
              <w:rPr>
                <w:color w:val="FFFFFF"/>
                <w:spacing w:val="-25"/>
                <w:w w:val="105"/>
                <w:sz w:val="22"/>
              </w:rPr>
              <w:t> </w:t>
            </w:r>
            <w:r>
              <w:rPr>
                <w:color w:val="FFFFFF"/>
                <w:w w:val="105"/>
                <w:sz w:val="22"/>
              </w:rPr>
              <w:t>the</w:t>
            </w:r>
            <w:r>
              <w:rPr>
                <w:color w:val="FFFFFF"/>
                <w:spacing w:val="-27"/>
                <w:w w:val="105"/>
                <w:sz w:val="22"/>
              </w:rPr>
              <w:t> </w:t>
            </w:r>
            <w:r>
              <w:rPr>
                <w:color w:val="FFFFFF"/>
                <w:w w:val="105"/>
                <w:sz w:val="22"/>
              </w:rPr>
              <w:t>scope of work is to be completed with  the  privileges  held (maintenance, continuing airworthiness management,</w:t>
            </w:r>
            <w:r>
              <w:rPr>
                <w:color w:val="FFFFFF"/>
                <w:spacing w:val="-16"/>
                <w:w w:val="105"/>
                <w:sz w:val="22"/>
              </w:rPr>
              <w:t> </w:t>
            </w:r>
            <w:r>
              <w:rPr>
                <w:color w:val="FFFFFF"/>
                <w:w w:val="105"/>
                <w:sz w:val="22"/>
              </w:rPr>
              <w:t>airworthiness</w:t>
            </w:r>
            <w:r>
              <w:rPr>
                <w:color w:val="FFFFFF"/>
                <w:spacing w:val="-14"/>
                <w:w w:val="105"/>
                <w:sz w:val="22"/>
              </w:rPr>
              <w:t> </w:t>
            </w:r>
            <w:r>
              <w:rPr>
                <w:color w:val="FFFFFF"/>
                <w:w w:val="105"/>
                <w:sz w:val="22"/>
              </w:rPr>
              <w:t>review,</w:t>
            </w:r>
            <w:r>
              <w:rPr>
                <w:color w:val="FFFFFF"/>
                <w:spacing w:val="-12"/>
                <w:w w:val="105"/>
                <w:sz w:val="22"/>
              </w:rPr>
              <w:t> </w:t>
            </w:r>
            <w:r>
              <w:rPr>
                <w:color w:val="FFFFFF"/>
                <w:w w:val="105"/>
                <w:sz w:val="22"/>
              </w:rPr>
              <w:t>permit</w:t>
            </w:r>
            <w:r>
              <w:rPr>
                <w:color w:val="FFFFFF"/>
                <w:spacing w:val="-15"/>
                <w:w w:val="105"/>
                <w:sz w:val="22"/>
              </w:rPr>
              <w:t> </w:t>
            </w:r>
            <w:r>
              <w:rPr>
                <w:color w:val="FFFFFF"/>
                <w:w w:val="105"/>
                <w:sz w:val="22"/>
              </w:rPr>
              <w:t>to</w:t>
            </w:r>
            <w:r>
              <w:rPr>
                <w:color w:val="FFFFFF"/>
                <w:spacing w:val="-12"/>
                <w:w w:val="105"/>
                <w:sz w:val="22"/>
              </w:rPr>
              <w:t> </w:t>
            </w:r>
            <w:r>
              <w:rPr>
                <w:color w:val="FFFFFF"/>
                <w:w w:val="105"/>
                <w:sz w:val="22"/>
              </w:rPr>
              <w:t>fly)</w:t>
            </w:r>
            <w:r>
              <w:rPr>
                <w:color w:val="FFFFFF"/>
                <w:spacing w:val="-13"/>
                <w:w w:val="105"/>
                <w:sz w:val="22"/>
              </w:rPr>
              <w:t> </w:t>
            </w:r>
            <w:r>
              <w:rPr>
                <w:color w:val="FFFFFF"/>
                <w:w w:val="105"/>
                <w:sz w:val="22"/>
              </w:rPr>
              <w:t>for that</w:t>
            </w:r>
            <w:r>
              <w:rPr>
                <w:color w:val="FFFFFF"/>
                <w:spacing w:val="-14"/>
                <w:w w:val="105"/>
                <w:sz w:val="22"/>
              </w:rPr>
              <w:t> </w:t>
            </w:r>
            <w:r>
              <w:rPr>
                <w:color w:val="FFFFFF"/>
                <w:w w:val="105"/>
                <w:sz w:val="22"/>
              </w:rPr>
              <w:t>aircraft</w:t>
            </w:r>
            <w:r>
              <w:rPr>
                <w:color w:val="FFFFFF"/>
                <w:spacing w:val="-14"/>
                <w:w w:val="105"/>
                <w:sz w:val="22"/>
              </w:rPr>
              <w:t> </w:t>
            </w:r>
            <w:r>
              <w:rPr>
                <w:color w:val="FFFFFF"/>
                <w:w w:val="105"/>
                <w:sz w:val="22"/>
              </w:rPr>
              <w:t>category</w:t>
            </w:r>
            <w:r>
              <w:rPr>
                <w:color w:val="FFFFFF"/>
                <w:spacing w:val="-14"/>
                <w:w w:val="105"/>
                <w:sz w:val="22"/>
              </w:rPr>
              <w:t> </w:t>
            </w:r>
            <w:r>
              <w:rPr>
                <w:color w:val="FFFFFF"/>
                <w:w w:val="105"/>
                <w:sz w:val="22"/>
              </w:rPr>
              <w:t>or</w:t>
            </w:r>
            <w:r>
              <w:rPr>
                <w:color w:val="FFFFFF"/>
                <w:spacing w:val="-14"/>
                <w:w w:val="105"/>
                <w:sz w:val="22"/>
              </w:rPr>
              <w:t> </w:t>
            </w:r>
            <w:r>
              <w:rPr>
                <w:color w:val="FFFFFF"/>
                <w:w w:val="105"/>
                <w:sz w:val="22"/>
              </w:rPr>
              <w:t>type.</w:t>
            </w:r>
          </w:p>
        </w:tc>
      </w:tr>
      <w:tr>
        <w:trPr>
          <w:trHeight w:val="5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57"/>
              <w:ind w:left="1"/>
              <w:jc w:val="center"/>
              <w:rPr>
                <w:sz w:val="22"/>
              </w:rPr>
            </w:pPr>
            <w:r>
              <w:rPr>
                <w:w w:val="101"/>
                <w:sz w:val="22"/>
              </w:rPr>
              <w:t>3</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157"/>
              <w:ind w:left="64"/>
              <w:rPr>
                <w:sz w:val="22"/>
              </w:rPr>
            </w:pPr>
            <w:r>
              <w:rPr>
                <w:sz w:val="22"/>
              </w:rPr>
              <w:t>CAO.A.020(b)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tabs>
                <w:tab w:pos="1200" w:val="left" w:leader="none"/>
                <w:tab w:pos="1868" w:val="left" w:leader="none"/>
                <w:tab w:pos="2894" w:val="left" w:leader="none"/>
                <w:tab w:pos="3645" w:val="left" w:leader="none"/>
              </w:tabs>
              <w:spacing w:line="254" w:lineRule="auto" w:before="22"/>
              <w:ind w:left="64" w:right="59"/>
              <w:rPr>
                <w:sz w:val="22"/>
              </w:rPr>
            </w:pPr>
            <w:r>
              <w:rPr>
                <w:sz w:val="22"/>
              </w:rPr>
              <w:t>Kuruluşun</w:t>
              <w:tab/>
              <w:t>onay</w:t>
              <w:tab/>
              <w:t>kapsamı,</w:t>
              <w:tab/>
              <w:t>Genel</w:t>
              <w:tab/>
            </w:r>
            <w:r>
              <w:rPr>
                <w:spacing w:val="-1"/>
                <w:sz w:val="22"/>
              </w:rPr>
              <w:t>Müdürlükçe </w:t>
            </w:r>
            <w:r>
              <w:rPr>
                <w:sz w:val="22"/>
              </w:rPr>
              <w:t>yayınlanan</w:t>
            </w:r>
            <w:r>
              <w:rPr>
                <w:spacing w:val="-26"/>
                <w:sz w:val="22"/>
              </w:rPr>
              <w:t> </w:t>
            </w:r>
            <w:r>
              <w:rPr>
                <w:sz w:val="22"/>
              </w:rPr>
              <w:t>Form</w:t>
            </w:r>
            <w:r>
              <w:rPr>
                <w:spacing w:val="-25"/>
                <w:sz w:val="22"/>
              </w:rPr>
              <w:t> </w:t>
            </w:r>
            <w:r>
              <w:rPr>
                <w:sz w:val="22"/>
              </w:rPr>
              <w:t>3-CAO</w:t>
            </w:r>
            <w:r>
              <w:rPr>
                <w:spacing w:val="-26"/>
                <w:sz w:val="22"/>
              </w:rPr>
              <w:t> </w:t>
            </w:r>
            <w:r>
              <w:rPr>
                <w:sz w:val="22"/>
              </w:rPr>
              <w:t>onay</w:t>
            </w:r>
            <w:r>
              <w:rPr>
                <w:spacing w:val="-25"/>
                <w:sz w:val="22"/>
              </w:rPr>
              <w:t> </w:t>
            </w:r>
            <w:r>
              <w:rPr>
                <w:sz w:val="22"/>
              </w:rPr>
              <w:t>sertifikasında</w:t>
            </w:r>
            <w:r>
              <w:rPr>
                <w:spacing w:val="-26"/>
                <w:sz w:val="22"/>
              </w:rPr>
              <w:t> </w:t>
            </w:r>
            <w:r>
              <w:rPr>
                <w:sz w:val="22"/>
              </w:rPr>
              <w:t>belirtilir.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bl>
    <w:p>
      <w:pPr>
        <w:spacing w:after="0"/>
        <w:rPr>
          <w:sz w:val="22"/>
        </w:rPr>
        <w:sectPr>
          <w:headerReference w:type="default" r:id="rId5"/>
          <w:footerReference w:type="default" r:id="rId6"/>
          <w:type w:val="continuous"/>
          <w:pgSz w:w="16840" w:h="11910" w:orient="landscape"/>
          <w:pgMar w:header="991" w:footer="647" w:top="1980" w:bottom="840" w:left="160" w:right="420"/>
          <w:pgNumType w:start="1"/>
        </w:sectPr>
      </w:pPr>
    </w:p>
    <w:p>
      <w:pPr>
        <w:pStyle w:val="BodyText"/>
        <w:rPr>
          <w:sz w:val="20"/>
        </w:rPr>
      </w:pPr>
    </w:p>
    <w:p>
      <w:pPr>
        <w:pStyle w:val="BodyText"/>
        <w:rPr>
          <w:sz w:val="20"/>
        </w:rPr>
      </w:pPr>
    </w:p>
    <w:p>
      <w:pPr>
        <w:pStyle w:val="BodyText"/>
        <w:rPr>
          <w:sz w:val="20"/>
        </w:rPr>
      </w:pPr>
    </w:p>
    <w:p>
      <w:pPr>
        <w:pStyle w:val="BodyText"/>
        <w:spacing w:before="1"/>
        <w:rPr>
          <w:sz w:val="10"/>
        </w:rPr>
      </w:pPr>
    </w:p>
    <w:tbl>
      <w:tblPr>
        <w:tblW w:w="0" w:type="auto"/>
        <w:jc w:val="left"/>
        <w:tblInd w:w="118" w:type="dxa"/>
        <w:tblBorders>
          <w:top w:val="single" w:sz="4" w:space="0" w:color="3366FF"/>
          <w:left w:val="single" w:sz="4" w:space="0" w:color="3366FF"/>
          <w:bottom w:val="single" w:sz="4" w:space="0" w:color="3366FF"/>
          <w:right w:val="single" w:sz="4" w:space="0" w:color="3366FF"/>
          <w:insideH w:val="single" w:sz="4" w:space="0" w:color="3366FF"/>
          <w:insideV w:val="single" w:sz="4" w:space="0" w:color="3366FF"/>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1340" w:hRule="atLeast"/>
        </w:trPr>
        <w:tc>
          <w:tcPr>
            <w:tcW w:w="1560" w:type="dxa"/>
            <w:tcBorders>
              <w:top w:val="nil"/>
            </w:tcBorders>
          </w:tcPr>
          <w:p>
            <w:pPr>
              <w:pStyle w:val="TableParagraph"/>
              <w:rPr>
                <w:sz w:val="24"/>
              </w:rPr>
            </w:pPr>
          </w:p>
          <w:p>
            <w:pPr>
              <w:pStyle w:val="TableParagraph"/>
              <w:spacing w:before="9"/>
              <w:rPr>
                <w:sz w:val="22"/>
              </w:rPr>
            </w:pPr>
          </w:p>
          <w:p>
            <w:pPr>
              <w:pStyle w:val="TableParagraph"/>
              <w:ind w:left="369" w:right="369"/>
              <w:jc w:val="center"/>
              <w:rPr>
                <w:sz w:val="22"/>
              </w:rPr>
            </w:pPr>
            <w:r>
              <w:rPr>
                <w:w w:val="95"/>
                <w:sz w:val="22"/>
              </w:rPr>
              <w:t>AAD-1</w:t>
            </w:r>
          </w:p>
        </w:tc>
        <w:tc>
          <w:tcPr>
            <w:tcW w:w="1843" w:type="dxa"/>
            <w:tcBorders>
              <w:top w:val="nil"/>
            </w:tcBorders>
          </w:tcPr>
          <w:p>
            <w:pPr>
              <w:pStyle w:val="TableParagraph"/>
              <w:rPr>
                <w:sz w:val="22"/>
              </w:rPr>
            </w:pPr>
          </w:p>
        </w:tc>
        <w:tc>
          <w:tcPr>
            <w:tcW w:w="4800" w:type="dxa"/>
            <w:tcBorders>
              <w:top w:val="nil"/>
            </w:tcBorders>
          </w:tcPr>
          <w:p>
            <w:pPr>
              <w:pStyle w:val="TableParagraph"/>
              <w:spacing w:line="254" w:lineRule="auto" w:before="1"/>
              <w:ind w:left="64" w:right="59"/>
              <w:jc w:val="both"/>
              <w:rPr>
                <w:sz w:val="22"/>
              </w:rPr>
            </w:pPr>
            <w:r>
              <w:rPr>
                <w:sz w:val="22"/>
              </w:rPr>
              <w:t>Genel Müdürlük tarafından verilen onay sınıfı ve kategorileri kapsamında onayın kati sınırları kuruluş </w:t>
            </w:r>
            <w:r>
              <w:rPr>
                <w:w w:val="95"/>
                <w:sz w:val="22"/>
              </w:rPr>
              <w:t>CAE'sinde tanımlanır. Dolayısıyla, CAE'de tanımlanan </w:t>
            </w:r>
            <w:r>
              <w:rPr>
                <w:sz w:val="22"/>
              </w:rPr>
              <w:t>yetki  sınırları  kuruluş  onay  sertifikası  ile  uyumlu</w:t>
            </w:r>
          </w:p>
          <w:p>
            <w:pPr>
              <w:pStyle w:val="TableParagraph"/>
              <w:spacing w:line="248" w:lineRule="exact" w:before="1"/>
              <w:ind w:left="64"/>
              <w:jc w:val="both"/>
              <w:rPr>
                <w:sz w:val="22"/>
              </w:rPr>
            </w:pPr>
            <w:r>
              <w:rPr>
                <w:sz w:val="22"/>
              </w:rPr>
              <w:t>olmak zorundadır.</w:t>
            </w:r>
          </w:p>
        </w:tc>
        <w:tc>
          <w:tcPr>
            <w:tcW w:w="497" w:type="dxa"/>
            <w:tcBorders>
              <w:top w:val="nil"/>
            </w:tcBorders>
          </w:tcPr>
          <w:p>
            <w:pPr>
              <w:pStyle w:val="TableParagraph"/>
              <w:rPr>
                <w:sz w:val="22"/>
              </w:rPr>
            </w:pPr>
          </w:p>
        </w:tc>
        <w:tc>
          <w:tcPr>
            <w:tcW w:w="492" w:type="dxa"/>
            <w:tcBorders>
              <w:top w:val="nil"/>
            </w:tcBorders>
          </w:tcPr>
          <w:p>
            <w:pPr>
              <w:pStyle w:val="TableParagraph"/>
              <w:rPr>
                <w:sz w:val="22"/>
              </w:rPr>
            </w:pPr>
          </w:p>
        </w:tc>
        <w:tc>
          <w:tcPr>
            <w:tcW w:w="504" w:type="dxa"/>
            <w:tcBorders>
              <w:top w:val="nil"/>
            </w:tcBorders>
          </w:tcPr>
          <w:p>
            <w:pPr>
              <w:pStyle w:val="TableParagraph"/>
              <w:rPr>
                <w:sz w:val="22"/>
              </w:rPr>
            </w:pPr>
          </w:p>
        </w:tc>
        <w:tc>
          <w:tcPr>
            <w:tcW w:w="487" w:type="dxa"/>
            <w:tcBorders>
              <w:top w:val="nil"/>
            </w:tcBorders>
          </w:tcPr>
          <w:p>
            <w:pPr>
              <w:pStyle w:val="TableParagraph"/>
              <w:rPr>
                <w:sz w:val="22"/>
              </w:rPr>
            </w:pPr>
          </w:p>
        </w:tc>
        <w:tc>
          <w:tcPr>
            <w:tcW w:w="418" w:type="dxa"/>
            <w:tcBorders>
              <w:top w:val="nil"/>
            </w:tcBorders>
          </w:tcPr>
          <w:p>
            <w:pPr>
              <w:pStyle w:val="TableParagraph"/>
              <w:rPr>
                <w:sz w:val="22"/>
              </w:rPr>
            </w:pPr>
          </w:p>
        </w:tc>
        <w:tc>
          <w:tcPr>
            <w:tcW w:w="446" w:type="dxa"/>
            <w:tcBorders>
              <w:top w:val="nil"/>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280" w:hRule="atLeast"/>
        </w:trPr>
        <w:tc>
          <w:tcPr>
            <w:tcW w:w="16018" w:type="dxa"/>
            <w:gridSpan w:val="10"/>
            <w:shd w:val="clear" w:color="auto" w:fill="FFC000"/>
          </w:tcPr>
          <w:p>
            <w:pPr>
              <w:pStyle w:val="TableParagraph"/>
              <w:spacing w:before="13"/>
              <w:ind w:left="64"/>
              <w:rPr>
                <w:sz w:val="22"/>
              </w:rPr>
            </w:pPr>
            <w:r>
              <w:rPr>
                <w:w w:val="95"/>
                <w:sz w:val="22"/>
              </w:rPr>
              <w:t>CAO.A.025 Birleşik uçuşa elverişlilik el kitabı</w:t>
            </w:r>
          </w:p>
        </w:tc>
      </w:tr>
      <w:tr>
        <w:trPr>
          <w:trHeight w:val="860" w:hRule="atLeast"/>
        </w:trPr>
        <w:tc>
          <w:tcPr>
            <w:tcW w:w="1560" w:type="dxa"/>
          </w:tcPr>
          <w:p>
            <w:pPr>
              <w:pStyle w:val="TableParagraph"/>
              <w:spacing w:before="4"/>
              <w:rPr>
                <w:sz w:val="26"/>
              </w:rPr>
            </w:pPr>
          </w:p>
          <w:p>
            <w:pPr>
              <w:pStyle w:val="TableParagraph"/>
              <w:ind w:left="1"/>
              <w:jc w:val="center"/>
              <w:rPr>
                <w:sz w:val="22"/>
              </w:rPr>
            </w:pPr>
            <w:r>
              <w:rPr>
                <w:w w:val="101"/>
                <w:sz w:val="22"/>
              </w:rPr>
              <w:t>4</w:t>
            </w:r>
          </w:p>
        </w:tc>
        <w:tc>
          <w:tcPr>
            <w:tcW w:w="1843" w:type="dxa"/>
          </w:tcPr>
          <w:p>
            <w:pPr>
              <w:pStyle w:val="TableParagraph"/>
              <w:spacing w:before="4"/>
              <w:rPr>
                <w:sz w:val="26"/>
              </w:rPr>
            </w:pPr>
          </w:p>
          <w:p>
            <w:pPr>
              <w:pStyle w:val="TableParagraph"/>
              <w:ind w:left="65"/>
              <w:rPr>
                <w:sz w:val="22"/>
              </w:rPr>
            </w:pPr>
            <w:r>
              <w:rPr>
                <w:w w:val="90"/>
                <w:sz w:val="22"/>
              </w:rPr>
              <w:t>CAO.A.025 (a)</w:t>
            </w:r>
          </w:p>
        </w:tc>
        <w:tc>
          <w:tcPr>
            <w:tcW w:w="4800" w:type="dxa"/>
          </w:tcPr>
          <w:p>
            <w:pPr>
              <w:pStyle w:val="TableParagraph"/>
              <w:spacing w:line="254" w:lineRule="auto" w:before="1"/>
              <w:ind w:left="64" w:right="516"/>
              <w:rPr>
                <w:sz w:val="22"/>
              </w:rPr>
            </w:pPr>
            <w:r>
              <w:rPr>
                <w:sz w:val="22"/>
              </w:rPr>
              <w:t>CAO</w:t>
            </w:r>
            <w:r>
              <w:rPr>
                <w:spacing w:val="-21"/>
                <w:sz w:val="22"/>
              </w:rPr>
              <w:t> </w:t>
            </w:r>
            <w:r>
              <w:rPr>
                <w:sz w:val="22"/>
              </w:rPr>
              <w:t>asgari</w:t>
            </w:r>
            <w:r>
              <w:rPr>
                <w:spacing w:val="-21"/>
                <w:sz w:val="22"/>
              </w:rPr>
              <w:t> </w:t>
            </w:r>
            <w:r>
              <w:rPr>
                <w:sz w:val="22"/>
              </w:rPr>
              <w:t>aşağıdaki</w:t>
            </w:r>
            <w:r>
              <w:rPr>
                <w:spacing w:val="-24"/>
                <w:sz w:val="22"/>
              </w:rPr>
              <w:t> </w:t>
            </w:r>
            <w:r>
              <w:rPr>
                <w:sz w:val="22"/>
              </w:rPr>
              <w:t>bilgileri</w:t>
            </w:r>
            <w:r>
              <w:rPr>
                <w:spacing w:val="-21"/>
                <w:sz w:val="22"/>
              </w:rPr>
              <w:t> </w:t>
            </w:r>
            <w:r>
              <w:rPr>
                <w:sz w:val="22"/>
              </w:rPr>
              <w:t>içeren</w:t>
            </w:r>
            <w:r>
              <w:rPr>
                <w:spacing w:val="-22"/>
                <w:sz w:val="22"/>
              </w:rPr>
              <w:t> </w:t>
            </w:r>
            <w:r>
              <w:rPr>
                <w:sz w:val="22"/>
              </w:rPr>
              <w:t>bir</w:t>
            </w:r>
            <w:r>
              <w:rPr>
                <w:spacing w:val="-24"/>
                <w:sz w:val="22"/>
              </w:rPr>
              <w:t> </w:t>
            </w:r>
            <w:r>
              <w:rPr>
                <w:sz w:val="22"/>
              </w:rPr>
              <w:t>el</w:t>
            </w:r>
            <w:r>
              <w:rPr>
                <w:spacing w:val="-21"/>
                <w:sz w:val="22"/>
              </w:rPr>
              <w:t> </w:t>
            </w:r>
            <w:r>
              <w:rPr>
                <w:sz w:val="22"/>
              </w:rPr>
              <w:t>kitabı </w:t>
            </w:r>
            <w:r>
              <w:rPr>
                <w:w w:val="95"/>
                <w:sz w:val="22"/>
              </w:rPr>
              <w:t>(CAE</w:t>
            </w:r>
            <w:r>
              <w:rPr>
                <w:spacing w:val="-23"/>
                <w:w w:val="95"/>
                <w:sz w:val="22"/>
              </w:rPr>
              <w:t> </w:t>
            </w:r>
            <w:r>
              <w:rPr>
                <w:w w:val="95"/>
                <w:sz w:val="22"/>
              </w:rPr>
              <w:t>)</w:t>
            </w:r>
            <w:r>
              <w:rPr>
                <w:spacing w:val="-23"/>
                <w:w w:val="95"/>
                <w:sz w:val="22"/>
              </w:rPr>
              <w:t> </w:t>
            </w:r>
            <w:r>
              <w:rPr>
                <w:w w:val="95"/>
                <w:sz w:val="22"/>
              </w:rPr>
              <w:t>hazırlar.</w:t>
            </w:r>
          </w:p>
        </w:tc>
        <w:tc>
          <w:tcPr>
            <w:tcW w:w="497" w:type="dxa"/>
          </w:tcPr>
          <w:p>
            <w:pPr>
              <w:pStyle w:val="TableParagraph"/>
              <w:rPr>
                <w:sz w:val="22"/>
              </w:rPr>
            </w:pPr>
          </w:p>
        </w:tc>
        <w:tc>
          <w:tcPr>
            <w:tcW w:w="492" w:type="dxa"/>
          </w:tcPr>
          <w:p>
            <w:pPr>
              <w:pStyle w:val="TableParagraph"/>
              <w:rPr>
                <w:sz w:val="22"/>
              </w:rPr>
            </w:pPr>
          </w:p>
        </w:tc>
        <w:tc>
          <w:tcPr>
            <w:tcW w:w="504" w:type="dxa"/>
          </w:tcPr>
          <w:p>
            <w:pPr>
              <w:pStyle w:val="TableParagraph"/>
              <w:rPr>
                <w:sz w:val="22"/>
              </w:rPr>
            </w:pPr>
          </w:p>
        </w:tc>
        <w:tc>
          <w:tcPr>
            <w:tcW w:w="487" w:type="dxa"/>
          </w:tcPr>
          <w:p>
            <w:pPr>
              <w:pStyle w:val="TableParagraph"/>
              <w:rPr>
                <w:sz w:val="22"/>
              </w:rPr>
            </w:pPr>
          </w:p>
        </w:tc>
        <w:tc>
          <w:tcPr>
            <w:tcW w:w="418" w:type="dxa"/>
          </w:tcPr>
          <w:p>
            <w:pPr>
              <w:pStyle w:val="TableParagraph"/>
              <w:rPr>
                <w:sz w:val="22"/>
              </w:rPr>
            </w:pPr>
          </w:p>
        </w:tc>
        <w:tc>
          <w:tcPr>
            <w:tcW w:w="446" w:type="dxa"/>
          </w:tcPr>
          <w:p>
            <w:pPr>
              <w:pStyle w:val="TableParagraph"/>
              <w:rPr>
                <w:sz w:val="22"/>
              </w:rPr>
            </w:pPr>
          </w:p>
        </w:tc>
        <w:tc>
          <w:tcPr>
            <w:tcW w:w="4970" w:type="dxa"/>
            <w:tcBorders>
              <w:top w:val="nil"/>
              <w:left w:val="nil"/>
              <w:bottom w:val="nil"/>
              <w:right w:val="nil"/>
            </w:tcBorders>
            <w:shd w:val="clear" w:color="auto" w:fill="3366FF"/>
          </w:tcPr>
          <w:p>
            <w:pPr>
              <w:pStyle w:val="TableParagraph"/>
              <w:spacing w:line="254" w:lineRule="auto" w:before="1"/>
              <w:ind w:left="69"/>
              <w:rPr>
                <w:sz w:val="22"/>
              </w:rPr>
            </w:pPr>
            <w:r>
              <w:rPr>
                <w:color w:val="FFFFFF"/>
                <w:w w:val="105"/>
                <w:sz w:val="22"/>
              </w:rPr>
              <w:t>Personnel should be familiar with those parts of the CAE that are relevant to their tasks.</w:t>
            </w:r>
          </w:p>
        </w:tc>
      </w:tr>
      <w:tr>
        <w:trPr>
          <w:trHeight w:val="860" w:hRule="atLeast"/>
        </w:trPr>
        <w:tc>
          <w:tcPr>
            <w:tcW w:w="1560" w:type="dxa"/>
          </w:tcPr>
          <w:p>
            <w:pPr>
              <w:pStyle w:val="TableParagraph"/>
              <w:spacing w:before="1"/>
              <w:rPr>
                <w:sz w:val="26"/>
              </w:rPr>
            </w:pPr>
          </w:p>
          <w:p>
            <w:pPr>
              <w:pStyle w:val="TableParagraph"/>
              <w:spacing w:before="1"/>
              <w:ind w:left="369" w:right="369"/>
              <w:jc w:val="center"/>
              <w:rPr>
                <w:sz w:val="22"/>
              </w:rPr>
            </w:pPr>
            <w:r>
              <w:rPr>
                <w:w w:val="95"/>
                <w:sz w:val="22"/>
              </w:rPr>
              <w:t>AAD-1</w:t>
            </w:r>
          </w:p>
        </w:tc>
        <w:tc>
          <w:tcPr>
            <w:tcW w:w="1843" w:type="dxa"/>
          </w:tcPr>
          <w:p>
            <w:pPr>
              <w:pStyle w:val="TableParagraph"/>
              <w:spacing w:before="1"/>
              <w:rPr>
                <w:sz w:val="26"/>
              </w:rPr>
            </w:pPr>
          </w:p>
          <w:p>
            <w:pPr>
              <w:pStyle w:val="TableParagraph"/>
              <w:spacing w:before="1"/>
              <w:ind w:left="63"/>
              <w:rPr>
                <w:sz w:val="22"/>
              </w:rPr>
            </w:pPr>
            <w:r>
              <w:rPr>
                <w:w w:val="90"/>
                <w:sz w:val="22"/>
              </w:rPr>
              <w:t>CAO.A.025 (a)</w:t>
            </w:r>
          </w:p>
        </w:tc>
        <w:tc>
          <w:tcPr>
            <w:tcW w:w="4800" w:type="dxa"/>
          </w:tcPr>
          <w:p>
            <w:pPr>
              <w:pStyle w:val="TableParagraph"/>
              <w:spacing w:line="254" w:lineRule="auto" w:before="32"/>
              <w:ind w:left="64" w:right="59"/>
              <w:jc w:val="both"/>
              <w:rPr>
                <w:sz w:val="22"/>
              </w:rPr>
            </w:pPr>
            <w:r>
              <w:rPr>
                <w:sz w:val="22"/>
              </w:rPr>
              <w:t>Sorumlu yönetici tarafından imzalanan ve kuruluşun her</w:t>
            </w:r>
            <w:r>
              <w:rPr>
                <w:spacing w:val="-20"/>
                <w:sz w:val="22"/>
              </w:rPr>
              <w:t> </w:t>
            </w:r>
            <w:r>
              <w:rPr>
                <w:sz w:val="22"/>
              </w:rPr>
              <w:t>zaman</w:t>
            </w:r>
            <w:r>
              <w:rPr>
                <w:spacing w:val="-23"/>
                <w:sz w:val="22"/>
              </w:rPr>
              <w:t> </w:t>
            </w:r>
            <w:r>
              <w:rPr>
                <w:sz w:val="22"/>
              </w:rPr>
              <w:t>Part-CAO</w:t>
            </w:r>
            <w:r>
              <w:rPr>
                <w:spacing w:val="-22"/>
                <w:sz w:val="22"/>
              </w:rPr>
              <w:t> </w:t>
            </w:r>
            <w:r>
              <w:rPr>
                <w:sz w:val="22"/>
              </w:rPr>
              <w:t>ve</w:t>
            </w:r>
            <w:r>
              <w:rPr>
                <w:spacing w:val="-24"/>
                <w:sz w:val="22"/>
              </w:rPr>
              <w:t> </w:t>
            </w:r>
            <w:r>
              <w:rPr>
                <w:sz w:val="22"/>
              </w:rPr>
              <w:t>onaylı</w:t>
            </w:r>
            <w:r>
              <w:rPr>
                <w:spacing w:val="-21"/>
                <w:sz w:val="22"/>
              </w:rPr>
              <w:t> </w:t>
            </w:r>
            <w:r>
              <w:rPr>
                <w:sz w:val="22"/>
              </w:rPr>
              <w:t>CAE</w:t>
            </w:r>
            <w:r>
              <w:rPr>
                <w:spacing w:val="-21"/>
                <w:sz w:val="22"/>
              </w:rPr>
              <w:t> </w:t>
            </w:r>
            <w:r>
              <w:rPr>
                <w:sz w:val="22"/>
              </w:rPr>
              <w:t>ile</w:t>
            </w:r>
            <w:r>
              <w:rPr>
                <w:spacing w:val="-20"/>
                <w:sz w:val="22"/>
              </w:rPr>
              <w:t> </w:t>
            </w:r>
            <w:r>
              <w:rPr>
                <w:sz w:val="22"/>
              </w:rPr>
              <w:t>uyumlu</w:t>
            </w:r>
            <w:r>
              <w:rPr>
                <w:spacing w:val="-23"/>
                <w:sz w:val="22"/>
              </w:rPr>
              <w:t> </w:t>
            </w:r>
            <w:r>
              <w:rPr>
                <w:sz w:val="22"/>
              </w:rPr>
              <w:t>olarak çalışacağını teyit eden bir</w:t>
            </w:r>
            <w:r>
              <w:rPr>
                <w:spacing w:val="10"/>
                <w:sz w:val="22"/>
              </w:rPr>
              <w:t> </w:t>
            </w:r>
            <w:r>
              <w:rPr>
                <w:sz w:val="22"/>
              </w:rPr>
              <w:t>beyan,</w:t>
            </w:r>
          </w:p>
        </w:tc>
        <w:tc>
          <w:tcPr>
            <w:tcW w:w="497" w:type="dxa"/>
          </w:tcPr>
          <w:p>
            <w:pPr>
              <w:pStyle w:val="TableParagraph"/>
              <w:rPr>
                <w:sz w:val="22"/>
              </w:rPr>
            </w:pPr>
          </w:p>
        </w:tc>
        <w:tc>
          <w:tcPr>
            <w:tcW w:w="492" w:type="dxa"/>
          </w:tcPr>
          <w:p>
            <w:pPr>
              <w:pStyle w:val="TableParagraph"/>
              <w:rPr>
                <w:sz w:val="22"/>
              </w:rPr>
            </w:pPr>
          </w:p>
        </w:tc>
        <w:tc>
          <w:tcPr>
            <w:tcW w:w="504" w:type="dxa"/>
          </w:tcPr>
          <w:p>
            <w:pPr>
              <w:pStyle w:val="TableParagraph"/>
              <w:rPr>
                <w:sz w:val="22"/>
              </w:rPr>
            </w:pPr>
          </w:p>
        </w:tc>
        <w:tc>
          <w:tcPr>
            <w:tcW w:w="487" w:type="dxa"/>
          </w:tcPr>
          <w:p>
            <w:pPr>
              <w:pStyle w:val="TableParagraph"/>
              <w:rPr>
                <w:sz w:val="22"/>
              </w:rPr>
            </w:pPr>
          </w:p>
        </w:tc>
        <w:tc>
          <w:tcPr>
            <w:tcW w:w="418" w:type="dxa"/>
          </w:tcPr>
          <w:p>
            <w:pPr>
              <w:pStyle w:val="TableParagraph"/>
              <w:rPr>
                <w:sz w:val="22"/>
              </w:rPr>
            </w:pPr>
          </w:p>
        </w:tc>
        <w:tc>
          <w:tcPr>
            <w:tcW w:w="446" w:type="dxa"/>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280" w:hRule="atLeast"/>
        </w:trPr>
        <w:tc>
          <w:tcPr>
            <w:tcW w:w="1560" w:type="dxa"/>
          </w:tcPr>
          <w:p>
            <w:pPr>
              <w:pStyle w:val="TableParagraph"/>
              <w:spacing w:before="10"/>
              <w:ind w:left="369" w:right="369"/>
              <w:jc w:val="center"/>
              <w:rPr>
                <w:sz w:val="22"/>
              </w:rPr>
            </w:pPr>
            <w:r>
              <w:rPr>
                <w:w w:val="95"/>
                <w:sz w:val="22"/>
              </w:rPr>
              <w:t>AAD-2</w:t>
            </w:r>
          </w:p>
        </w:tc>
        <w:tc>
          <w:tcPr>
            <w:tcW w:w="1843" w:type="dxa"/>
          </w:tcPr>
          <w:p>
            <w:pPr>
              <w:pStyle w:val="TableParagraph"/>
              <w:spacing w:before="10"/>
              <w:ind w:left="63"/>
              <w:rPr>
                <w:sz w:val="22"/>
              </w:rPr>
            </w:pPr>
            <w:r>
              <w:rPr>
                <w:w w:val="90"/>
                <w:sz w:val="22"/>
              </w:rPr>
              <w:t>CAO.A.025 (a)</w:t>
            </w:r>
          </w:p>
        </w:tc>
        <w:tc>
          <w:tcPr>
            <w:tcW w:w="4800" w:type="dxa"/>
          </w:tcPr>
          <w:p>
            <w:pPr>
              <w:pStyle w:val="TableParagraph"/>
              <w:spacing w:before="10"/>
              <w:ind w:left="65"/>
              <w:rPr>
                <w:sz w:val="22"/>
              </w:rPr>
            </w:pPr>
            <w:r>
              <w:rPr>
                <w:w w:val="95"/>
                <w:sz w:val="22"/>
              </w:rPr>
              <w:t>CAE onay kapsamı</w:t>
            </w:r>
          </w:p>
        </w:tc>
        <w:tc>
          <w:tcPr>
            <w:tcW w:w="497" w:type="dxa"/>
          </w:tcPr>
          <w:p>
            <w:pPr>
              <w:pStyle w:val="TableParagraph"/>
              <w:rPr>
                <w:sz w:val="20"/>
              </w:rPr>
            </w:pPr>
          </w:p>
        </w:tc>
        <w:tc>
          <w:tcPr>
            <w:tcW w:w="492" w:type="dxa"/>
          </w:tcPr>
          <w:p>
            <w:pPr>
              <w:pStyle w:val="TableParagraph"/>
              <w:rPr>
                <w:sz w:val="20"/>
              </w:rPr>
            </w:pPr>
          </w:p>
        </w:tc>
        <w:tc>
          <w:tcPr>
            <w:tcW w:w="504" w:type="dxa"/>
          </w:tcPr>
          <w:p>
            <w:pPr>
              <w:pStyle w:val="TableParagraph"/>
              <w:rPr>
                <w:sz w:val="20"/>
              </w:rPr>
            </w:pPr>
          </w:p>
        </w:tc>
        <w:tc>
          <w:tcPr>
            <w:tcW w:w="487" w:type="dxa"/>
          </w:tcPr>
          <w:p>
            <w:pPr>
              <w:pStyle w:val="TableParagraph"/>
              <w:rPr>
                <w:sz w:val="20"/>
              </w:rPr>
            </w:pPr>
          </w:p>
        </w:tc>
        <w:tc>
          <w:tcPr>
            <w:tcW w:w="418" w:type="dxa"/>
          </w:tcPr>
          <w:p>
            <w:pPr>
              <w:pStyle w:val="TableParagraph"/>
              <w:rPr>
                <w:sz w:val="20"/>
              </w:rPr>
            </w:pPr>
          </w:p>
        </w:tc>
        <w:tc>
          <w:tcPr>
            <w:tcW w:w="446" w:type="dxa"/>
          </w:tcPr>
          <w:p>
            <w:pPr>
              <w:pStyle w:val="TableParagraph"/>
              <w:rPr>
                <w:sz w:val="20"/>
              </w:rPr>
            </w:pPr>
          </w:p>
        </w:tc>
        <w:tc>
          <w:tcPr>
            <w:tcW w:w="4970" w:type="dxa"/>
            <w:tcBorders>
              <w:top w:val="nil"/>
              <w:left w:val="nil"/>
              <w:bottom w:val="nil"/>
              <w:right w:val="nil"/>
            </w:tcBorders>
            <w:shd w:val="clear" w:color="auto" w:fill="3366FF"/>
          </w:tcPr>
          <w:p>
            <w:pPr>
              <w:pStyle w:val="TableParagraph"/>
              <w:rPr>
                <w:sz w:val="20"/>
              </w:rPr>
            </w:pPr>
          </w:p>
        </w:tc>
      </w:tr>
      <w:tr>
        <w:trPr>
          <w:trHeight w:val="520" w:hRule="atLeast"/>
        </w:trPr>
        <w:tc>
          <w:tcPr>
            <w:tcW w:w="1560" w:type="dxa"/>
          </w:tcPr>
          <w:p>
            <w:pPr>
              <w:pStyle w:val="TableParagraph"/>
              <w:spacing w:before="135"/>
              <w:ind w:left="369" w:right="369"/>
              <w:jc w:val="center"/>
              <w:rPr>
                <w:sz w:val="22"/>
              </w:rPr>
            </w:pPr>
            <w:r>
              <w:rPr>
                <w:w w:val="95"/>
                <w:sz w:val="22"/>
              </w:rPr>
              <w:t>AAD-3</w:t>
            </w:r>
          </w:p>
        </w:tc>
        <w:tc>
          <w:tcPr>
            <w:tcW w:w="1843" w:type="dxa"/>
          </w:tcPr>
          <w:p>
            <w:pPr>
              <w:pStyle w:val="TableParagraph"/>
              <w:spacing w:before="135"/>
              <w:ind w:left="63"/>
              <w:rPr>
                <w:sz w:val="22"/>
              </w:rPr>
            </w:pPr>
            <w:r>
              <w:rPr>
                <w:w w:val="90"/>
                <w:sz w:val="22"/>
              </w:rPr>
              <w:t>CAO.A.025 (a)</w:t>
            </w:r>
          </w:p>
        </w:tc>
        <w:tc>
          <w:tcPr>
            <w:tcW w:w="4800" w:type="dxa"/>
          </w:tcPr>
          <w:p>
            <w:pPr>
              <w:pStyle w:val="TableParagraph"/>
              <w:spacing w:before="1"/>
              <w:ind w:left="64"/>
              <w:rPr>
                <w:sz w:val="22"/>
              </w:rPr>
            </w:pPr>
            <w:r>
              <w:rPr>
                <w:sz w:val="22"/>
              </w:rPr>
              <w:t>CAO.035</w:t>
            </w:r>
            <w:r>
              <w:rPr>
                <w:spacing w:val="-14"/>
                <w:sz w:val="22"/>
              </w:rPr>
              <w:t> </w:t>
            </w:r>
            <w:r>
              <w:rPr>
                <w:sz w:val="22"/>
              </w:rPr>
              <w:t>(a)</w:t>
            </w:r>
            <w:r>
              <w:rPr>
                <w:spacing w:val="-15"/>
                <w:sz w:val="22"/>
              </w:rPr>
              <w:t> </w:t>
            </w:r>
            <w:r>
              <w:rPr>
                <w:sz w:val="22"/>
              </w:rPr>
              <w:t>ve</w:t>
            </w:r>
            <w:r>
              <w:rPr>
                <w:spacing w:val="-14"/>
                <w:sz w:val="22"/>
              </w:rPr>
              <w:t> </w:t>
            </w:r>
            <w:r>
              <w:rPr>
                <w:sz w:val="22"/>
              </w:rPr>
              <w:t>(b)'de</w:t>
            </w:r>
            <w:r>
              <w:rPr>
                <w:spacing w:val="-14"/>
                <w:sz w:val="22"/>
              </w:rPr>
              <w:t> </w:t>
            </w:r>
            <w:r>
              <w:rPr>
                <w:sz w:val="22"/>
              </w:rPr>
              <w:t>belirtilen</w:t>
            </w:r>
            <w:r>
              <w:rPr>
                <w:spacing w:val="-12"/>
                <w:sz w:val="22"/>
              </w:rPr>
              <w:t> </w:t>
            </w:r>
            <w:r>
              <w:rPr>
                <w:sz w:val="22"/>
              </w:rPr>
              <w:t>kişilerin</w:t>
            </w:r>
            <w:r>
              <w:rPr>
                <w:spacing w:val="-13"/>
                <w:sz w:val="22"/>
              </w:rPr>
              <w:t> </w:t>
            </w:r>
            <w:r>
              <w:rPr>
                <w:sz w:val="22"/>
              </w:rPr>
              <w:t>unvanları</w:t>
            </w:r>
            <w:r>
              <w:rPr>
                <w:spacing w:val="-16"/>
                <w:sz w:val="22"/>
              </w:rPr>
              <w:t> </w:t>
            </w:r>
            <w:r>
              <w:rPr>
                <w:sz w:val="22"/>
              </w:rPr>
              <w:t>ve</w:t>
            </w:r>
          </w:p>
          <w:p>
            <w:pPr>
              <w:pStyle w:val="TableParagraph"/>
              <w:spacing w:line="245" w:lineRule="exact" w:before="16"/>
              <w:ind w:left="64"/>
              <w:rPr>
                <w:sz w:val="22"/>
              </w:rPr>
            </w:pPr>
            <w:r>
              <w:rPr>
                <w:sz w:val="22"/>
              </w:rPr>
              <w:t>isimleri</w:t>
            </w:r>
          </w:p>
        </w:tc>
        <w:tc>
          <w:tcPr>
            <w:tcW w:w="497" w:type="dxa"/>
          </w:tcPr>
          <w:p>
            <w:pPr>
              <w:pStyle w:val="TableParagraph"/>
              <w:rPr>
                <w:sz w:val="22"/>
              </w:rPr>
            </w:pPr>
          </w:p>
        </w:tc>
        <w:tc>
          <w:tcPr>
            <w:tcW w:w="492" w:type="dxa"/>
          </w:tcPr>
          <w:p>
            <w:pPr>
              <w:pStyle w:val="TableParagraph"/>
              <w:rPr>
                <w:sz w:val="22"/>
              </w:rPr>
            </w:pPr>
          </w:p>
        </w:tc>
        <w:tc>
          <w:tcPr>
            <w:tcW w:w="504" w:type="dxa"/>
          </w:tcPr>
          <w:p>
            <w:pPr>
              <w:pStyle w:val="TableParagraph"/>
              <w:rPr>
                <w:sz w:val="22"/>
              </w:rPr>
            </w:pPr>
          </w:p>
        </w:tc>
        <w:tc>
          <w:tcPr>
            <w:tcW w:w="487" w:type="dxa"/>
          </w:tcPr>
          <w:p>
            <w:pPr>
              <w:pStyle w:val="TableParagraph"/>
              <w:rPr>
                <w:sz w:val="22"/>
              </w:rPr>
            </w:pPr>
          </w:p>
        </w:tc>
        <w:tc>
          <w:tcPr>
            <w:tcW w:w="418" w:type="dxa"/>
          </w:tcPr>
          <w:p>
            <w:pPr>
              <w:pStyle w:val="TableParagraph"/>
              <w:rPr>
                <w:sz w:val="22"/>
              </w:rPr>
            </w:pPr>
          </w:p>
        </w:tc>
        <w:tc>
          <w:tcPr>
            <w:tcW w:w="446" w:type="dxa"/>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1060" w:hRule="atLeast"/>
        </w:trPr>
        <w:tc>
          <w:tcPr>
            <w:tcW w:w="1560" w:type="dxa"/>
          </w:tcPr>
          <w:p>
            <w:pPr>
              <w:pStyle w:val="TableParagraph"/>
              <w:spacing w:before="3"/>
              <w:rPr>
                <w:sz w:val="35"/>
              </w:rPr>
            </w:pPr>
          </w:p>
          <w:p>
            <w:pPr>
              <w:pStyle w:val="TableParagraph"/>
              <w:spacing w:before="1"/>
              <w:ind w:left="369" w:right="369"/>
              <w:jc w:val="center"/>
              <w:rPr>
                <w:sz w:val="22"/>
              </w:rPr>
            </w:pPr>
            <w:r>
              <w:rPr>
                <w:w w:val="95"/>
                <w:sz w:val="22"/>
              </w:rPr>
              <w:t>AAD-4</w:t>
            </w:r>
          </w:p>
        </w:tc>
        <w:tc>
          <w:tcPr>
            <w:tcW w:w="1843" w:type="dxa"/>
          </w:tcPr>
          <w:p>
            <w:pPr>
              <w:pStyle w:val="TableParagraph"/>
              <w:spacing w:before="3"/>
              <w:rPr>
                <w:sz w:val="35"/>
              </w:rPr>
            </w:pPr>
          </w:p>
          <w:p>
            <w:pPr>
              <w:pStyle w:val="TableParagraph"/>
              <w:spacing w:before="1"/>
              <w:ind w:left="63"/>
              <w:rPr>
                <w:sz w:val="22"/>
              </w:rPr>
            </w:pPr>
            <w:r>
              <w:rPr>
                <w:w w:val="90"/>
                <w:sz w:val="22"/>
              </w:rPr>
              <w:t>CAO.A.025 (a)</w:t>
            </w:r>
          </w:p>
        </w:tc>
        <w:tc>
          <w:tcPr>
            <w:tcW w:w="4800" w:type="dxa"/>
          </w:tcPr>
          <w:p>
            <w:pPr>
              <w:pStyle w:val="TableParagraph"/>
              <w:spacing w:line="254" w:lineRule="auto" w:before="3"/>
              <w:ind w:left="64" w:right="58"/>
              <w:jc w:val="both"/>
              <w:rPr>
                <w:sz w:val="22"/>
              </w:rPr>
            </w:pPr>
            <w:r>
              <w:rPr>
                <w:sz w:val="22"/>
              </w:rPr>
              <w:t>CAO.035 (a) ve (b) maddelerinde belirtilen tüm kişi (ler) arasındaki ilişkiyi, hesap verebilirlik ve sorumluluk  zincirlerini   gösteren  bir  organizasyon</w:t>
            </w:r>
          </w:p>
          <w:p>
            <w:pPr>
              <w:pStyle w:val="TableParagraph"/>
              <w:spacing w:line="248" w:lineRule="exact" w:before="1"/>
              <w:ind w:left="64"/>
              <w:jc w:val="both"/>
              <w:rPr>
                <w:sz w:val="22"/>
              </w:rPr>
            </w:pPr>
            <w:r>
              <w:rPr>
                <w:sz w:val="22"/>
              </w:rPr>
              <w:t>şeması,</w:t>
            </w:r>
          </w:p>
        </w:tc>
        <w:tc>
          <w:tcPr>
            <w:tcW w:w="497" w:type="dxa"/>
          </w:tcPr>
          <w:p>
            <w:pPr>
              <w:pStyle w:val="TableParagraph"/>
              <w:rPr>
                <w:sz w:val="22"/>
              </w:rPr>
            </w:pPr>
          </w:p>
        </w:tc>
        <w:tc>
          <w:tcPr>
            <w:tcW w:w="492" w:type="dxa"/>
          </w:tcPr>
          <w:p>
            <w:pPr>
              <w:pStyle w:val="TableParagraph"/>
              <w:rPr>
                <w:sz w:val="22"/>
              </w:rPr>
            </w:pPr>
          </w:p>
        </w:tc>
        <w:tc>
          <w:tcPr>
            <w:tcW w:w="504" w:type="dxa"/>
          </w:tcPr>
          <w:p>
            <w:pPr>
              <w:pStyle w:val="TableParagraph"/>
              <w:rPr>
                <w:sz w:val="22"/>
              </w:rPr>
            </w:pPr>
          </w:p>
        </w:tc>
        <w:tc>
          <w:tcPr>
            <w:tcW w:w="487" w:type="dxa"/>
          </w:tcPr>
          <w:p>
            <w:pPr>
              <w:pStyle w:val="TableParagraph"/>
              <w:rPr>
                <w:sz w:val="22"/>
              </w:rPr>
            </w:pPr>
          </w:p>
        </w:tc>
        <w:tc>
          <w:tcPr>
            <w:tcW w:w="418" w:type="dxa"/>
          </w:tcPr>
          <w:p>
            <w:pPr>
              <w:pStyle w:val="TableParagraph"/>
              <w:rPr>
                <w:sz w:val="22"/>
              </w:rPr>
            </w:pPr>
          </w:p>
        </w:tc>
        <w:tc>
          <w:tcPr>
            <w:tcW w:w="446" w:type="dxa"/>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800" w:hRule="atLeast"/>
        </w:trPr>
        <w:tc>
          <w:tcPr>
            <w:tcW w:w="1560" w:type="dxa"/>
          </w:tcPr>
          <w:p>
            <w:pPr>
              <w:pStyle w:val="TableParagraph"/>
              <w:spacing w:before="5"/>
              <w:rPr>
                <w:sz w:val="23"/>
              </w:rPr>
            </w:pPr>
          </w:p>
          <w:p>
            <w:pPr>
              <w:pStyle w:val="TableParagraph"/>
              <w:ind w:left="369" w:right="369"/>
              <w:jc w:val="center"/>
              <w:rPr>
                <w:sz w:val="22"/>
              </w:rPr>
            </w:pPr>
            <w:r>
              <w:rPr>
                <w:w w:val="95"/>
                <w:sz w:val="22"/>
              </w:rPr>
              <w:t>AAD-5</w:t>
            </w:r>
          </w:p>
        </w:tc>
        <w:tc>
          <w:tcPr>
            <w:tcW w:w="1843" w:type="dxa"/>
          </w:tcPr>
          <w:p>
            <w:pPr>
              <w:pStyle w:val="TableParagraph"/>
              <w:spacing w:before="5"/>
              <w:rPr>
                <w:sz w:val="23"/>
              </w:rPr>
            </w:pPr>
          </w:p>
          <w:p>
            <w:pPr>
              <w:pStyle w:val="TableParagraph"/>
              <w:ind w:left="63"/>
              <w:rPr>
                <w:sz w:val="22"/>
              </w:rPr>
            </w:pPr>
            <w:r>
              <w:rPr>
                <w:w w:val="90"/>
                <w:sz w:val="22"/>
              </w:rPr>
              <w:t>CAO.A.025 (a)</w:t>
            </w:r>
          </w:p>
        </w:tc>
        <w:tc>
          <w:tcPr>
            <w:tcW w:w="4800" w:type="dxa"/>
          </w:tcPr>
          <w:p>
            <w:pPr>
              <w:pStyle w:val="TableParagraph"/>
              <w:spacing w:before="1"/>
              <w:ind w:left="64"/>
              <w:rPr>
                <w:sz w:val="22"/>
              </w:rPr>
            </w:pPr>
            <w:r>
              <w:rPr>
                <w:sz w:val="22"/>
              </w:rPr>
              <w:t>Mevcut    olması    durumunda,    yetki kapsamlarını</w:t>
            </w:r>
          </w:p>
          <w:p>
            <w:pPr>
              <w:pStyle w:val="TableParagraph"/>
              <w:spacing w:line="270" w:lineRule="atLeast"/>
              <w:ind w:left="64" w:right="59"/>
              <w:rPr>
                <w:sz w:val="22"/>
              </w:rPr>
            </w:pPr>
            <w:r>
              <w:rPr>
                <w:sz w:val="22"/>
              </w:rPr>
              <w:t>içeren bakım programı geliştirme ve onayından sorumlu personelin listesi,</w:t>
            </w:r>
          </w:p>
        </w:tc>
        <w:tc>
          <w:tcPr>
            <w:tcW w:w="497" w:type="dxa"/>
          </w:tcPr>
          <w:p>
            <w:pPr>
              <w:pStyle w:val="TableParagraph"/>
              <w:rPr>
                <w:sz w:val="22"/>
              </w:rPr>
            </w:pPr>
          </w:p>
        </w:tc>
        <w:tc>
          <w:tcPr>
            <w:tcW w:w="492" w:type="dxa"/>
          </w:tcPr>
          <w:p>
            <w:pPr>
              <w:pStyle w:val="TableParagraph"/>
              <w:rPr>
                <w:sz w:val="22"/>
              </w:rPr>
            </w:pPr>
          </w:p>
        </w:tc>
        <w:tc>
          <w:tcPr>
            <w:tcW w:w="504" w:type="dxa"/>
          </w:tcPr>
          <w:p>
            <w:pPr>
              <w:pStyle w:val="TableParagraph"/>
              <w:rPr>
                <w:sz w:val="22"/>
              </w:rPr>
            </w:pPr>
          </w:p>
        </w:tc>
        <w:tc>
          <w:tcPr>
            <w:tcW w:w="487" w:type="dxa"/>
          </w:tcPr>
          <w:p>
            <w:pPr>
              <w:pStyle w:val="TableParagraph"/>
              <w:rPr>
                <w:sz w:val="22"/>
              </w:rPr>
            </w:pPr>
          </w:p>
        </w:tc>
        <w:tc>
          <w:tcPr>
            <w:tcW w:w="418" w:type="dxa"/>
          </w:tcPr>
          <w:p>
            <w:pPr>
              <w:pStyle w:val="TableParagraph"/>
              <w:rPr>
                <w:sz w:val="22"/>
              </w:rPr>
            </w:pPr>
          </w:p>
        </w:tc>
        <w:tc>
          <w:tcPr>
            <w:tcW w:w="446" w:type="dxa"/>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800" w:hRule="atLeast"/>
        </w:trPr>
        <w:tc>
          <w:tcPr>
            <w:tcW w:w="1560" w:type="dxa"/>
          </w:tcPr>
          <w:p>
            <w:pPr>
              <w:pStyle w:val="TableParagraph"/>
              <w:spacing w:before="5"/>
              <w:rPr>
                <w:sz w:val="23"/>
              </w:rPr>
            </w:pPr>
          </w:p>
          <w:p>
            <w:pPr>
              <w:pStyle w:val="TableParagraph"/>
              <w:ind w:left="369" w:right="369"/>
              <w:jc w:val="center"/>
              <w:rPr>
                <w:sz w:val="22"/>
              </w:rPr>
            </w:pPr>
            <w:r>
              <w:rPr>
                <w:w w:val="95"/>
                <w:sz w:val="22"/>
              </w:rPr>
              <w:t>AAD-6</w:t>
            </w:r>
          </w:p>
        </w:tc>
        <w:tc>
          <w:tcPr>
            <w:tcW w:w="1843" w:type="dxa"/>
          </w:tcPr>
          <w:p>
            <w:pPr>
              <w:pStyle w:val="TableParagraph"/>
              <w:spacing w:before="5"/>
              <w:rPr>
                <w:sz w:val="23"/>
              </w:rPr>
            </w:pPr>
          </w:p>
          <w:p>
            <w:pPr>
              <w:pStyle w:val="TableParagraph"/>
              <w:ind w:left="63"/>
              <w:rPr>
                <w:sz w:val="22"/>
              </w:rPr>
            </w:pPr>
            <w:r>
              <w:rPr>
                <w:w w:val="90"/>
                <w:sz w:val="22"/>
              </w:rPr>
              <w:t>CAO.A.025 (a)</w:t>
            </w:r>
          </w:p>
        </w:tc>
        <w:tc>
          <w:tcPr>
            <w:tcW w:w="4800" w:type="dxa"/>
          </w:tcPr>
          <w:p>
            <w:pPr>
              <w:pStyle w:val="TableParagraph"/>
              <w:spacing w:line="254" w:lineRule="auto" w:before="1"/>
              <w:ind w:left="64" w:right="59"/>
              <w:rPr>
                <w:sz w:val="22"/>
              </w:rPr>
            </w:pPr>
            <w:r>
              <w:rPr>
                <w:sz w:val="22"/>
              </w:rPr>
              <w:t>Mevcut olması durumunda, yetki  kapsamlarını içeren  uçuşa  elverişlilik  gözden  geçirme personeli</w:t>
            </w:r>
          </w:p>
          <w:p>
            <w:pPr>
              <w:pStyle w:val="TableParagraph"/>
              <w:spacing w:line="248" w:lineRule="exact" w:before="1"/>
              <w:ind w:left="64"/>
              <w:rPr>
                <w:sz w:val="22"/>
              </w:rPr>
            </w:pPr>
            <w:r>
              <w:rPr>
                <w:sz w:val="22"/>
              </w:rPr>
              <w:t>listesi,</w:t>
            </w:r>
          </w:p>
        </w:tc>
        <w:tc>
          <w:tcPr>
            <w:tcW w:w="497" w:type="dxa"/>
          </w:tcPr>
          <w:p>
            <w:pPr>
              <w:pStyle w:val="TableParagraph"/>
              <w:rPr>
                <w:sz w:val="22"/>
              </w:rPr>
            </w:pPr>
          </w:p>
        </w:tc>
        <w:tc>
          <w:tcPr>
            <w:tcW w:w="492" w:type="dxa"/>
          </w:tcPr>
          <w:p>
            <w:pPr>
              <w:pStyle w:val="TableParagraph"/>
              <w:rPr>
                <w:sz w:val="22"/>
              </w:rPr>
            </w:pPr>
          </w:p>
        </w:tc>
        <w:tc>
          <w:tcPr>
            <w:tcW w:w="504" w:type="dxa"/>
          </w:tcPr>
          <w:p>
            <w:pPr>
              <w:pStyle w:val="TableParagraph"/>
              <w:rPr>
                <w:sz w:val="22"/>
              </w:rPr>
            </w:pPr>
          </w:p>
        </w:tc>
        <w:tc>
          <w:tcPr>
            <w:tcW w:w="487" w:type="dxa"/>
          </w:tcPr>
          <w:p>
            <w:pPr>
              <w:pStyle w:val="TableParagraph"/>
              <w:rPr>
                <w:sz w:val="22"/>
              </w:rPr>
            </w:pPr>
          </w:p>
        </w:tc>
        <w:tc>
          <w:tcPr>
            <w:tcW w:w="418" w:type="dxa"/>
          </w:tcPr>
          <w:p>
            <w:pPr>
              <w:pStyle w:val="TableParagraph"/>
              <w:rPr>
                <w:sz w:val="22"/>
              </w:rPr>
            </w:pPr>
          </w:p>
        </w:tc>
        <w:tc>
          <w:tcPr>
            <w:tcW w:w="446" w:type="dxa"/>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580" w:hRule="atLeast"/>
        </w:trPr>
        <w:tc>
          <w:tcPr>
            <w:tcW w:w="1560" w:type="dxa"/>
          </w:tcPr>
          <w:p>
            <w:pPr>
              <w:pStyle w:val="TableParagraph"/>
              <w:spacing w:before="157"/>
              <w:ind w:left="369" w:right="369"/>
              <w:jc w:val="center"/>
              <w:rPr>
                <w:sz w:val="22"/>
              </w:rPr>
            </w:pPr>
            <w:r>
              <w:rPr>
                <w:w w:val="95"/>
                <w:sz w:val="22"/>
              </w:rPr>
              <w:t>AAD-7</w:t>
            </w:r>
          </w:p>
        </w:tc>
        <w:tc>
          <w:tcPr>
            <w:tcW w:w="1843" w:type="dxa"/>
          </w:tcPr>
          <w:p>
            <w:pPr>
              <w:pStyle w:val="TableParagraph"/>
              <w:spacing w:before="157"/>
              <w:ind w:left="63"/>
              <w:rPr>
                <w:sz w:val="22"/>
              </w:rPr>
            </w:pPr>
            <w:r>
              <w:rPr>
                <w:w w:val="90"/>
                <w:sz w:val="22"/>
              </w:rPr>
              <w:t>CAO.A.025 (a)</w:t>
            </w:r>
          </w:p>
        </w:tc>
        <w:tc>
          <w:tcPr>
            <w:tcW w:w="4800" w:type="dxa"/>
          </w:tcPr>
          <w:p>
            <w:pPr>
              <w:pStyle w:val="TableParagraph"/>
              <w:tabs>
                <w:tab w:pos="987" w:val="left" w:leader="none"/>
                <w:tab w:pos="1815" w:val="left" w:leader="none"/>
                <w:tab w:pos="3164" w:val="left" w:leader="none"/>
                <w:tab w:pos="3771" w:val="left" w:leader="none"/>
                <w:tab w:pos="4425" w:val="left" w:leader="none"/>
              </w:tabs>
              <w:spacing w:line="254" w:lineRule="auto" w:before="22"/>
              <w:ind w:left="64" w:right="60"/>
              <w:rPr>
                <w:sz w:val="22"/>
              </w:rPr>
            </w:pPr>
            <w:r>
              <w:rPr>
                <w:sz w:val="22"/>
              </w:rPr>
              <w:t>Mevcut</w:t>
              <w:tab/>
              <w:t>olması</w:t>
              <w:tab/>
              <w:t>durumunda,</w:t>
              <w:tab/>
              <w:t>özel</w:t>
              <w:tab/>
              <w:t>uçuş</w:t>
              <w:tab/>
            </w:r>
            <w:r>
              <w:rPr>
                <w:w w:val="90"/>
                <w:sz w:val="22"/>
              </w:rPr>
              <w:t>izni </w:t>
            </w:r>
            <w:r>
              <w:rPr>
                <w:sz w:val="22"/>
              </w:rPr>
              <w:t>yayınlamaktan sorumlu personelin</w:t>
            </w:r>
            <w:r>
              <w:rPr>
                <w:spacing w:val="17"/>
                <w:sz w:val="22"/>
              </w:rPr>
              <w:t> </w:t>
            </w:r>
            <w:r>
              <w:rPr>
                <w:sz w:val="22"/>
              </w:rPr>
              <w:t>listesi,</w:t>
            </w:r>
          </w:p>
        </w:tc>
        <w:tc>
          <w:tcPr>
            <w:tcW w:w="497" w:type="dxa"/>
          </w:tcPr>
          <w:p>
            <w:pPr>
              <w:pStyle w:val="TableParagraph"/>
              <w:rPr>
                <w:sz w:val="22"/>
              </w:rPr>
            </w:pPr>
          </w:p>
        </w:tc>
        <w:tc>
          <w:tcPr>
            <w:tcW w:w="492" w:type="dxa"/>
          </w:tcPr>
          <w:p>
            <w:pPr>
              <w:pStyle w:val="TableParagraph"/>
              <w:rPr>
                <w:sz w:val="22"/>
              </w:rPr>
            </w:pPr>
          </w:p>
        </w:tc>
        <w:tc>
          <w:tcPr>
            <w:tcW w:w="504" w:type="dxa"/>
          </w:tcPr>
          <w:p>
            <w:pPr>
              <w:pStyle w:val="TableParagraph"/>
              <w:rPr>
                <w:sz w:val="22"/>
              </w:rPr>
            </w:pPr>
          </w:p>
        </w:tc>
        <w:tc>
          <w:tcPr>
            <w:tcW w:w="487" w:type="dxa"/>
          </w:tcPr>
          <w:p>
            <w:pPr>
              <w:pStyle w:val="TableParagraph"/>
              <w:rPr>
                <w:sz w:val="22"/>
              </w:rPr>
            </w:pPr>
          </w:p>
        </w:tc>
        <w:tc>
          <w:tcPr>
            <w:tcW w:w="418" w:type="dxa"/>
          </w:tcPr>
          <w:p>
            <w:pPr>
              <w:pStyle w:val="TableParagraph"/>
              <w:rPr>
                <w:sz w:val="22"/>
              </w:rPr>
            </w:pPr>
          </w:p>
        </w:tc>
        <w:tc>
          <w:tcPr>
            <w:tcW w:w="446" w:type="dxa"/>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280" w:hRule="atLeast"/>
        </w:trPr>
        <w:tc>
          <w:tcPr>
            <w:tcW w:w="1560" w:type="dxa"/>
          </w:tcPr>
          <w:p>
            <w:pPr>
              <w:pStyle w:val="TableParagraph"/>
              <w:spacing w:before="10"/>
              <w:ind w:left="369" w:right="369"/>
              <w:jc w:val="center"/>
              <w:rPr>
                <w:sz w:val="22"/>
              </w:rPr>
            </w:pPr>
            <w:r>
              <w:rPr>
                <w:w w:val="95"/>
                <w:sz w:val="22"/>
              </w:rPr>
              <w:t>AAD-8</w:t>
            </w:r>
          </w:p>
        </w:tc>
        <w:tc>
          <w:tcPr>
            <w:tcW w:w="1843" w:type="dxa"/>
          </w:tcPr>
          <w:p>
            <w:pPr>
              <w:pStyle w:val="TableParagraph"/>
              <w:spacing w:before="10"/>
              <w:ind w:left="63"/>
              <w:rPr>
                <w:sz w:val="22"/>
              </w:rPr>
            </w:pPr>
            <w:r>
              <w:rPr>
                <w:w w:val="90"/>
                <w:sz w:val="22"/>
              </w:rPr>
              <w:t>CAO.A.025 (a)</w:t>
            </w:r>
          </w:p>
        </w:tc>
        <w:tc>
          <w:tcPr>
            <w:tcW w:w="4800" w:type="dxa"/>
          </w:tcPr>
          <w:p>
            <w:pPr>
              <w:pStyle w:val="TableParagraph"/>
              <w:spacing w:before="10"/>
              <w:ind w:left="65"/>
              <w:rPr>
                <w:sz w:val="22"/>
              </w:rPr>
            </w:pPr>
            <w:r>
              <w:rPr>
                <w:sz w:val="22"/>
              </w:rPr>
              <w:t>Tesislerin yeri ve genel tanımı,</w:t>
            </w:r>
          </w:p>
        </w:tc>
        <w:tc>
          <w:tcPr>
            <w:tcW w:w="497" w:type="dxa"/>
          </w:tcPr>
          <w:p>
            <w:pPr>
              <w:pStyle w:val="TableParagraph"/>
              <w:rPr>
                <w:sz w:val="20"/>
              </w:rPr>
            </w:pPr>
          </w:p>
        </w:tc>
        <w:tc>
          <w:tcPr>
            <w:tcW w:w="492" w:type="dxa"/>
          </w:tcPr>
          <w:p>
            <w:pPr>
              <w:pStyle w:val="TableParagraph"/>
              <w:rPr>
                <w:sz w:val="20"/>
              </w:rPr>
            </w:pPr>
          </w:p>
        </w:tc>
        <w:tc>
          <w:tcPr>
            <w:tcW w:w="504" w:type="dxa"/>
          </w:tcPr>
          <w:p>
            <w:pPr>
              <w:pStyle w:val="TableParagraph"/>
              <w:rPr>
                <w:sz w:val="20"/>
              </w:rPr>
            </w:pPr>
          </w:p>
        </w:tc>
        <w:tc>
          <w:tcPr>
            <w:tcW w:w="487" w:type="dxa"/>
          </w:tcPr>
          <w:p>
            <w:pPr>
              <w:pStyle w:val="TableParagraph"/>
              <w:rPr>
                <w:sz w:val="20"/>
              </w:rPr>
            </w:pPr>
          </w:p>
        </w:tc>
        <w:tc>
          <w:tcPr>
            <w:tcW w:w="418" w:type="dxa"/>
          </w:tcPr>
          <w:p>
            <w:pPr>
              <w:pStyle w:val="TableParagraph"/>
              <w:rPr>
                <w:sz w:val="20"/>
              </w:rPr>
            </w:pPr>
          </w:p>
        </w:tc>
        <w:tc>
          <w:tcPr>
            <w:tcW w:w="446" w:type="dxa"/>
          </w:tcPr>
          <w:p>
            <w:pPr>
              <w:pStyle w:val="TableParagraph"/>
              <w:rPr>
                <w:sz w:val="20"/>
              </w:rPr>
            </w:pPr>
          </w:p>
        </w:tc>
        <w:tc>
          <w:tcPr>
            <w:tcW w:w="4970" w:type="dxa"/>
            <w:tcBorders>
              <w:top w:val="nil"/>
              <w:left w:val="nil"/>
              <w:bottom w:val="nil"/>
              <w:right w:val="nil"/>
            </w:tcBorders>
            <w:shd w:val="clear" w:color="auto" w:fill="3366FF"/>
          </w:tcPr>
          <w:p>
            <w:pPr>
              <w:pStyle w:val="TableParagraph"/>
              <w:rPr>
                <w:sz w:val="20"/>
              </w:rPr>
            </w:pPr>
          </w:p>
        </w:tc>
      </w:tr>
    </w:tbl>
    <w:p>
      <w:pPr>
        <w:spacing w:after="0"/>
        <w:rPr>
          <w:sz w:val="20"/>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spacing w:before="8"/>
        <w:rPr>
          <w:sz w:val="19"/>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580" w:hRule="atLeast"/>
        </w:trPr>
        <w:tc>
          <w:tcPr>
            <w:tcW w:w="1560" w:type="dxa"/>
            <w:tcBorders>
              <w:left w:val="single" w:sz="4" w:space="0" w:color="3366FF"/>
              <w:bottom w:val="single" w:sz="4" w:space="0" w:color="3366FF"/>
              <w:right w:val="single" w:sz="4" w:space="0" w:color="3366FF"/>
            </w:tcBorders>
          </w:tcPr>
          <w:p>
            <w:pPr>
              <w:pStyle w:val="TableParagraph"/>
              <w:spacing w:before="157"/>
              <w:ind w:left="369" w:right="369"/>
              <w:jc w:val="center"/>
              <w:rPr>
                <w:sz w:val="22"/>
              </w:rPr>
            </w:pPr>
            <w:r>
              <w:rPr>
                <w:w w:val="95"/>
                <w:sz w:val="22"/>
              </w:rPr>
              <w:t>AAD-9</w:t>
            </w:r>
          </w:p>
        </w:tc>
        <w:tc>
          <w:tcPr>
            <w:tcW w:w="1843" w:type="dxa"/>
            <w:tcBorders>
              <w:left w:val="single" w:sz="4" w:space="0" w:color="3366FF"/>
              <w:bottom w:val="single" w:sz="4" w:space="0" w:color="3366FF"/>
              <w:right w:val="single" w:sz="4" w:space="0" w:color="3366FF"/>
            </w:tcBorders>
          </w:tcPr>
          <w:p>
            <w:pPr>
              <w:pStyle w:val="TableParagraph"/>
              <w:spacing w:before="157"/>
              <w:ind w:left="63"/>
              <w:rPr>
                <w:sz w:val="22"/>
              </w:rPr>
            </w:pPr>
            <w:r>
              <w:rPr>
                <w:w w:val="90"/>
                <w:sz w:val="22"/>
              </w:rPr>
              <w:t>CAO.A.025 (a)</w:t>
            </w:r>
          </w:p>
        </w:tc>
        <w:tc>
          <w:tcPr>
            <w:tcW w:w="4800" w:type="dxa"/>
            <w:tcBorders>
              <w:left w:val="single" w:sz="4" w:space="0" w:color="3366FF"/>
              <w:bottom w:val="single" w:sz="4" w:space="0" w:color="3366FF"/>
              <w:right w:val="single" w:sz="4" w:space="0" w:color="3366FF"/>
            </w:tcBorders>
          </w:tcPr>
          <w:p>
            <w:pPr>
              <w:pStyle w:val="TableParagraph"/>
              <w:spacing w:line="252" w:lineRule="auto" w:before="25"/>
              <w:ind w:left="64" w:right="59"/>
              <w:rPr>
                <w:sz w:val="22"/>
              </w:rPr>
            </w:pPr>
            <w:r>
              <w:rPr>
                <w:sz w:val="22"/>
              </w:rPr>
              <w:t>CAO'nun Part-CAO gerekliliklerine nasıl uyacağına ilişkin prosedürler</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r>
        <w:trPr>
          <w:trHeight w:val="280" w:hRule="atLeast"/>
        </w:trPr>
        <w:tc>
          <w:tcPr>
            <w:tcW w:w="1560" w:type="dxa"/>
            <w:tcBorders>
              <w:top w:val="single" w:sz="4" w:space="0" w:color="3366FF"/>
              <w:left w:val="single" w:sz="4" w:space="0" w:color="3366FF"/>
              <w:bottom w:val="single" w:sz="4" w:space="0" w:color="3366FF"/>
              <w:right w:val="single" w:sz="4" w:space="0" w:color="000000"/>
            </w:tcBorders>
          </w:tcPr>
          <w:p>
            <w:pPr>
              <w:pStyle w:val="TableParagraph"/>
              <w:spacing w:before="13"/>
              <w:ind w:left="369" w:right="370"/>
              <w:jc w:val="center"/>
              <w:rPr>
                <w:sz w:val="22"/>
              </w:rPr>
            </w:pPr>
            <w:r>
              <w:rPr>
                <w:sz w:val="22"/>
              </w:rPr>
              <w:t>AAD-10</w:t>
            </w:r>
          </w:p>
        </w:tc>
        <w:tc>
          <w:tcPr>
            <w:tcW w:w="1843" w:type="dxa"/>
            <w:tcBorders>
              <w:top w:val="single" w:sz="4" w:space="0" w:color="3366FF"/>
              <w:left w:val="single" w:sz="4" w:space="0" w:color="000000"/>
              <w:bottom w:val="single" w:sz="4" w:space="0" w:color="000000"/>
              <w:right w:val="single" w:sz="4" w:space="0" w:color="000000"/>
            </w:tcBorders>
          </w:tcPr>
          <w:p>
            <w:pPr>
              <w:pStyle w:val="TableParagraph"/>
              <w:spacing w:before="13"/>
              <w:ind w:left="63"/>
              <w:rPr>
                <w:sz w:val="22"/>
              </w:rPr>
            </w:pPr>
            <w:r>
              <w:rPr>
                <w:w w:val="90"/>
                <w:sz w:val="22"/>
              </w:rPr>
              <w:t>CAO.A.025 (a)</w:t>
            </w:r>
          </w:p>
        </w:tc>
        <w:tc>
          <w:tcPr>
            <w:tcW w:w="4800" w:type="dxa"/>
            <w:tcBorders>
              <w:top w:val="single" w:sz="4" w:space="0" w:color="3366FF"/>
              <w:left w:val="single" w:sz="4" w:space="0" w:color="000000"/>
              <w:bottom w:val="single" w:sz="4" w:space="0" w:color="3366FF"/>
              <w:right w:val="single" w:sz="4" w:space="0" w:color="3366FF"/>
            </w:tcBorders>
          </w:tcPr>
          <w:p>
            <w:pPr>
              <w:pStyle w:val="TableParagraph"/>
              <w:spacing w:before="13"/>
              <w:ind w:left="65"/>
              <w:rPr>
                <w:sz w:val="22"/>
              </w:rPr>
            </w:pPr>
            <w:r>
              <w:rPr>
                <w:w w:val="95"/>
                <w:sz w:val="22"/>
              </w:rPr>
              <w:t>CAO.A.105 (b)'de belirtilen CAE değişiklik prosedürü.</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970" w:type="dxa"/>
            <w:tcBorders>
              <w:top w:val="nil"/>
              <w:left w:val="nil"/>
              <w:bottom w:val="nil"/>
              <w:right w:val="nil"/>
            </w:tcBorders>
            <w:shd w:val="clear" w:color="auto" w:fill="3366FF"/>
          </w:tcPr>
          <w:p>
            <w:pPr>
              <w:pStyle w:val="TableParagraph"/>
              <w:rPr>
                <w:sz w:val="20"/>
              </w:rPr>
            </w:pPr>
          </w:p>
        </w:tc>
      </w:tr>
      <w:tr>
        <w:trPr>
          <w:trHeight w:val="280" w:hRule="atLeast"/>
        </w:trPr>
        <w:tc>
          <w:tcPr>
            <w:tcW w:w="16018" w:type="dxa"/>
            <w:gridSpan w:val="10"/>
            <w:tcBorders>
              <w:top w:val="single" w:sz="4" w:space="0" w:color="3366FF"/>
              <w:left w:val="single" w:sz="4" w:space="0" w:color="3366FF"/>
              <w:bottom w:val="single" w:sz="4" w:space="0" w:color="3366FF"/>
              <w:right w:val="single" w:sz="4" w:space="0" w:color="3366FF"/>
            </w:tcBorders>
            <w:shd w:val="clear" w:color="auto" w:fill="FFC000"/>
          </w:tcPr>
          <w:p>
            <w:pPr>
              <w:pStyle w:val="TableParagraph"/>
              <w:spacing w:line="251" w:lineRule="exact"/>
              <w:ind w:left="64"/>
              <w:rPr>
                <w:sz w:val="22"/>
              </w:rPr>
            </w:pPr>
            <w:r>
              <w:rPr>
                <w:w w:val="90"/>
                <w:sz w:val="22"/>
              </w:rPr>
              <w:t>CAO.A.030  Tesisler</w:t>
            </w:r>
          </w:p>
        </w:tc>
      </w:tr>
      <w:tr>
        <w:trPr>
          <w:trHeight w:val="80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5"/>
              <w:rPr>
                <w:sz w:val="23"/>
              </w:rPr>
            </w:pPr>
          </w:p>
          <w:p>
            <w:pPr>
              <w:pStyle w:val="TableParagraph"/>
              <w:ind w:left="1"/>
              <w:jc w:val="center"/>
              <w:rPr>
                <w:sz w:val="22"/>
              </w:rPr>
            </w:pPr>
            <w:r>
              <w:rPr>
                <w:w w:val="101"/>
                <w:sz w:val="22"/>
              </w:rPr>
              <w:t>5</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5"/>
              <w:rPr>
                <w:sz w:val="23"/>
              </w:rPr>
            </w:pPr>
          </w:p>
          <w:p>
            <w:pPr>
              <w:pStyle w:val="TableParagraph"/>
              <w:ind w:left="65"/>
              <w:rPr>
                <w:sz w:val="22"/>
              </w:rPr>
            </w:pPr>
            <w:r>
              <w:rPr>
                <w:sz w:val="22"/>
              </w:rPr>
              <w:t>CAO.A.030</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tabs>
                <w:tab w:pos="1067" w:val="left" w:leader="none"/>
                <w:tab w:pos="1707" w:val="left" w:leader="none"/>
                <w:tab w:pos="2469" w:val="left" w:leader="none"/>
                <w:tab w:pos="3281" w:val="left" w:leader="none"/>
                <w:tab w:pos="4105" w:val="left" w:leader="none"/>
              </w:tabs>
              <w:spacing w:before="1"/>
              <w:ind w:left="64"/>
              <w:rPr>
                <w:sz w:val="22"/>
              </w:rPr>
            </w:pPr>
            <w:r>
              <w:rPr>
                <w:sz w:val="22"/>
              </w:rPr>
              <w:t>Kuruluş,</w:t>
              <w:tab/>
              <w:t>tüm</w:t>
              <w:tab/>
              <w:t>planlı</w:t>
              <w:tab/>
              <w:t>işlerin</w:t>
              <w:tab/>
              <w:t>uygun</w:t>
              <w:tab/>
              <w:t>şekilde</w:t>
            </w:r>
          </w:p>
          <w:p>
            <w:pPr>
              <w:pStyle w:val="TableParagraph"/>
              <w:spacing w:line="270" w:lineRule="atLeast"/>
              <w:ind w:left="64" w:right="59"/>
              <w:rPr>
                <w:sz w:val="22"/>
              </w:rPr>
            </w:pPr>
            <w:r>
              <w:rPr>
                <w:sz w:val="22"/>
              </w:rPr>
              <w:t>gerçekleştirilebilmesi için uygun ofis yerleşimi dahil tüm gerekli tesisleri sağlar.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280" w:hRule="atLeast"/>
        </w:trPr>
        <w:tc>
          <w:tcPr>
            <w:tcW w:w="16018" w:type="dxa"/>
            <w:gridSpan w:val="10"/>
            <w:tcBorders>
              <w:top w:val="single" w:sz="4" w:space="0" w:color="3366FF"/>
              <w:left w:val="single" w:sz="4" w:space="0" w:color="3366FF"/>
              <w:bottom w:val="single" w:sz="4" w:space="0" w:color="3366FF"/>
              <w:right w:val="single" w:sz="4" w:space="0" w:color="3366FF"/>
            </w:tcBorders>
            <w:shd w:val="clear" w:color="auto" w:fill="FFC000"/>
          </w:tcPr>
          <w:p>
            <w:pPr>
              <w:pStyle w:val="TableParagraph"/>
              <w:spacing w:before="1"/>
              <w:ind w:left="64"/>
              <w:rPr>
                <w:sz w:val="22"/>
              </w:rPr>
            </w:pPr>
            <w:r>
              <w:rPr>
                <w:w w:val="95"/>
                <w:sz w:val="22"/>
              </w:rPr>
              <w:t>CAO.A.035 Personel gereklilikleri</w:t>
            </w:r>
          </w:p>
        </w:tc>
      </w:tr>
      <w:tr>
        <w:trPr>
          <w:trHeight w:val="13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9"/>
              <w:rPr>
                <w:sz w:val="22"/>
              </w:rPr>
            </w:pPr>
          </w:p>
          <w:p>
            <w:pPr>
              <w:pStyle w:val="TableParagraph"/>
              <w:ind w:left="1"/>
              <w:jc w:val="center"/>
              <w:rPr>
                <w:sz w:val="22"/>
              </w:rPr>
            </w:pPr>
            <w:r>
              <w:rPr>
                <w:w w:val="101"/>
                <w:sz w:val="22"/>
              </w:rPr>
              <w:t>6</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9"/>
              <w:rPr>
                <w:sz w:val="22"/>
              </w:rPr>
            </w:pPr>
          </w:p>
          <w:p>
            <w:pPr>
              <w:pStyle w:val="TableParagraph"/>
              <w:ind w:left="65"/>
              <w:rPr>
                <w:sz w:val="22"/>
              </w:rPr>
            </w:pPr>
            <w:r>
              <w:rPr>
                <w:w w:val="90"/>
                <w:sz w:val="22"/>
              </w:rPr>
              <w:t>CAO.A.035 (a)</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60"/>
              <w:jc w:val="both"/>
              <w:rPr>
                <w:sz w:val="22"/>
              </w:rPr>
            </w:pPr>
            <w:r>
              <w:rPr>
                <w:sz w:val="22"/>
              </w:rPr>
              <w:t>Kuruluş, tüm sürekli uçuşa elverişlilik yönetimi faaliyetlerinin finanse edilebilmesini ve mevzuat gerekliliklerine uygun şekilde yürütülebilmesini sağlayan kurumsal yetkiye sahip bir Sorumlu Müdür</w:t>
            </w:r>
          </w:p>
          <w:p>
            <w:pPr>
              <w:pStyle w:val="TableParagraph"/>
              <w:spacing w:line="248" w:lineRule="exact" w:before="1"/>
              <w:ind w:left="64"/>
              <w:jc w:val="both"/>
              <w:rPr>
                <w:sz w:val="22"/>
              </w:rPr>
            </w:pPr>
            <w:r>
              <w:rPr>
                <w:w w:val="110"/>
                <w:sz w:val="22"/>
              </w:rPr>
              <w:t>atar.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11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166"/>
              <w:ind w:left="1"/>
              <w:jc w:val="center"/>
              <w:rPr>
                <w:sz w:val="22"/>
              </w:rPr>
            </w:pPr>
            <w:r>
              <w:rPr>
                <w:w w:val="101"/>
                <w:sz w:val="22"/>
              </w:rPr>
              <w:t>7</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166"/>
              <w:ind w:left="65"/>
              <w:rPr>
                <w:sz w:val="22"/>
              </w:rPr>
            </w:pPr>
            <w:r>
              <w:rPr>
                <w:w w:val="90"/>
                <w:sz w:val="22"/>
              </w:rPr>
              <w:t>CAO.A.035 (b)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39"/>
              <w:ind w:left="64" w:right="58"/>
              <w:jc w:val="both"/>
              <w:rPr>
                <w:sz w:val="22"/>
              </w:rPr>
            </w:pPr>
            <w:r>
              <w:rPr>
                <w:sz w:val="22"/>
              </w:rPr>
              <w:t>Sorumlu Müdür, CAO'nun bu Talimat ile sürekli uyumlu şekilde kalmasını sağlamaktan sorumlu bir kişi veya kişiler grubunu atar. Bu kişi veya kişiler, nihai olarak Sorumlu Müdüre karşı sorumlu olur.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13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9"/>
              <w:rPr>
                <w:sz w:val="22"/>
              </w:rPr>
            </w:pPr>
          </w:p>
          <w:p>
            <w:pPr>
              <w:pStyle w:val="TableParagraph"/>
              <w:ind w:left="1"/>
              <w:jc w:val="center"/>
              <w:rPr>
                <w:sz w:val="22"/>
              </w:rPr>
            </w:pPr>
            <w:r>
              <w:rPr>
                <w:w w:val="101"/>
                <w:sz w:val="22"/>
              </w:rPr>
              <w:t>8</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9"/>
              <w:rPr>
                <w:sz w:val="22"/>
              </w:rPr>
            </w:pPr>
          </w:p>
          <w:p>
            <w:pPr>
              <w:pStyle w:val="TableParagraph"/>
              <w:ind w:left="65"/>
              <w:rPr>
                <w:sz w:val="22"/>
              </w:rPr>
            </w:pPr>
            <w:r>
              <w:rPr>
                <w:w w:val="90"/>
                <w:sz w:val="22"/>
              </w:rPr>
              <w:t>CAO.A.035 (c)</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8"/>
              <w:jc w:val="both"/>
              <w:rPr>
                <w:sz w:val="22"/>
              </w:rPr>
            </w:pPr>
            <w:r>
              <w:rPr>
                <w:sz w:val="22"/>
              </w:rPr>
              <w:t>Bu Talimat ile sürekli uyumlu şekilde kalmasını sağlamaktan sorumlu atanan kişi veya kişiler, görev pozisyonlarına uygun olarak hava aracı sürekli uçuşa elverişlilik yönetimi ile ilgili bilgi, geçmiş ve  yeterli</w:t>
            </w:r>
          </w:p>
          <w:p>
            <w:pPr>
              <w:pStyle w:val="TableParagraph"/>
              <w:spacing w:line="248" w:lineRule="exact" w:before="1"/>
              <w:ind w:left="64"/>
              <w:jc w:val="both"/>
              <w:rPr>
                <w:sz w:val="22"/>
              </w:rPr>
            </w:pPr>
            <w:r>
              <w:rPr>
                <w:sz w:val="22"/>
              </w:rPr>
              <w:t>deneyime  sahip olduğunu gösterir.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14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4"/>
              <w:rPr>
                <w:sz w:val="27"/>
              </w:rPr>
            </w:pPr>
          </w:p>
          <w:p>
            <w:pPr>
              <w:pStyle w:val="TableParagraph"/>
              <w:ind w:left="369" w:right="369"/>
              <w:jc w:val="center"/>
              <w:rPr>
                <w:sz w:val="22"/>
              </w:rPr>
            </w:pPr>
            <w:r>
              <w:rPr>
                <w:w w:val="95"/>
                <w:sz w:val="22"/>
              </w:rPr>
              <w:t>AAD-1</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line="254" w:lineRule="auto" w:before="181"/>
              <w:ind w:left="64" w:right="572"/>
              <w:rPr>
                <w:sz w:val="22"/>
              </w:rPr>
            </w:pPr>
            <w:r>
              <w:rPr>
                <w:sz w:val="22"/>
              </w:rPr>
              <w:t>AMC1 </w:t>
            </w:r>
            <w:r>
              <w:rPr>
                <w:w w:val="90"/>
                <w:sz w:val="22"/>
              </w:rPr>
              <w:t>CAO.A.035(c)</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53"/>
              <w:ind w:left="64" w:right="61"/>
              <w:jc w:val="both"/>
              <w:rPr>
                <w:sz w:val="22"/>
              </w:rPr>
            </w:pPr>
            <w:r>
              <w:rPr>
                <w:sz w:val="22"/>
              </w:rPr>
              <w:t>CAO.A.035(b) maddesi kapsamında tayin edilen</w:t>
            </w:r>
            <w:r>
              <w:rPr>
                <w:spacing w:val="-20"/>
                <w:sz w:val="22"/>
              </w:rPr>
              <w:t> </w:t>
            </w:r>
            <w:r>
              <w:rPr>
                <w:sz w:val="22"/>
              </w:rPr>
              <w:t>kişi veya    kişiler    grubu    aşağıdaki    özellikleri </w:t>
            </w:r>
            <w:r>
              <w:rPr>
                <w:spacing w:val="21"/>
                <w:sz w:val="22"/>
              </w:rPr>
              <w:t> </w:t>
            </w:r>
            <w:r>
              <w:rPr>
                <w:sz w:val="22"/>
              </w:rPr>
              <w:t>taşır;</w:t>
            </w:r>
          </w:p>
          <w:p>
            <w:pPr>
              <w:pStyle w:val="TableParagraph"/>
              <w:spacing w:line="254" w:lineRule="auto"/>
              <w:ind w:left="64" w:right="60"/>
              <w:jc w:val="both"/>
              <w:rPr>
                <w:sz w:val="22"/>
              </w:rPr>
            </w:pPr>
            <w:r>
              <w:rPr>
                <w:sz w:val="22"/>
              </w:rPr>
              <w:t>(a) Havacılık emniyet standartlarının ve emniyetli operasyonel uygulamaların yerine getirilmesinde pratik deneyime ve uzmanlığa sahip olmak,</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bl>
    <w:p>
      <w:pPr>
        <w:spacing w:after="0"/>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spacing w:before="3"/>
        <w:rPr>
          <w:sz w:val="23"/>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114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spacing w:before="166"/>
              <w:ind w:left="369" w:right="369"/>
              <w:jc w:val="center"/>
              <w:rPr>
                <w:sz w:val="22"/>
              </w:rPr>
            </w:pPr>
            <w:r>
              <w:rPr>
                <w:w w:val="95"/>
                <w:sz w:val="22"/>
              </w:rPr>
              <w:t>AAD-2</w:t>
            </w:r>
          </w:p>
        </w:tc>
        <w:tc>
          <w:tcPr>
            <w:tcW w:w="1843" w:type="dxa"/>
            <w:tcBorders>
              <w:left w:val="single" w:sz="4" w:space="0" w:color="3366FF"/>
              <w:bottom w:val="single" w:sz="4" w:space="0" w:color="3366FF"/>
              <w:right w:val="single" w:sz="4" w:space="0" w:color="3366FF"/>
            </w:tcBorders>
          </w:tcPr>
          <w:p>
            <w:pPr>
              <w:pStyle w:val="TableParagraph"/>
              <w:spacing w:before="9"/>
              <w:rPr>
                <w:sz w:val="26"/>
              </w:rPr>
            </w:pPr>
          </w:p>
          <w:p>
            <w:pPr>
              <w:pStyle w:val="TableParagraph"/>
              <w:spacing w:line="254" w:lineRule="auto"/>
              <w:ind w:left="64" w:right="572"/>
              <w:rPr>
                <w:sz w:val="22"/>
              </w:rPr>
            </w:pPr>
            <w:r>
              <w:rPr>
                <w:sz w:val="22"/>
              </w:rPr>
              <w:t>AMC1 </w:t>
            </w:r>
            <w:r>
              <w:rPr>
                <w:w w:val="90"/>
                <w:sz w:val="22"/>
              </w:rPr>
              <w:t>CAO.A.035(c)</w:t>
            </w:r>
          </w:p>
        </w:tc>
        <w:tc>
          <w:tcPr>
            <w:tcW w:w="4800" w:type="dxa"/>
            <w:tcBorders>
              <w:left w:val="single" w:sz="4" w:space="0" w:color="3366FF"/>
              <w:bottom w:val="single" w:sz="4" w:space="0" w:color="3366FF"/>
              <w:right w:val="single" w:sz="4" w:space="0" w:color="3366FF"/>
            </w:tcBorders>
          </w:tcPr>
          <w:p>
            <w:pPr>
              <w:pStyle w:val="TableParagraph"/>
              <w:spacing w:before="9"/>
              <w:rPr>
                <w:sz w:val="26"/>
              </w:rPr>
            </w:pPr>
          </w:p>
          <w:p>
            <w:pPr>
              <w:pStyle w:val="TableParagraph"/>
              <w:spacing w:line="254" w:lineRule="auto"/>
              <w:ind w:left="64" w:right="59"/>
              <w:rPr>
                <w:sz w:val="22"/>
              </w:rPr>
            </w:pPr>
            <w:r>
              <w:rPr>
                <w:sz w:val="22"/>
              </w:rPr>
              <w:t>Part-M, Part-ML ve ilgili gereklilikler, prosedürler hakkında kapsamlı bilgiye sahip olmak,</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r>
        <w:trPr>
          <w:trHeight w:val="11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164"/>
              <w:ind w:left="369" w:right="369"/>
              <w:jc w:val="center"/>
              <w:rPr>
                <w:sz w:val="22"/>
              </w:rPr>
            </w:pPr>
            <w:r>
              <w:rPr>
                <w:w w:val="95"/>
                <w:sz w:val="22"/>
              </w:rPr>
              <w:t>AAD-3</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9"/>
              <w:rPr>
                <w:sz w:val="26"/>
              </w:rPr>
            </w:pPr>
          </w:p>
          <w:p>
            <w:pPr>
              <w:pStyle w:val="TableParagraph"/>
              <w:spacing w:line="252" w:lineRule="auto"/>
              <w:ind w:left="64" w:right="572"/>
              <w:rPr>
                <w:sz w:val="22"/>
              </w:rPr>
            </w:pPr>
            <w:r>
              <w:rPr>
                <w:sz w:val="22"/>
              </w:rPr>
              <w:t>AMC1 </w:t>
            </w:r>
            <w:r>
              <w:rPr>
                <w:w w:val="90"/>
                <w:sz w:val="22"/>
              </w:rPr>
              <w:t>CAO.A.035(c)</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before="9"/>
              <w:rPr>
                <w:sz w:val="26"/>
              </w:rPr>
            </w:pPr>
          </w:p>
          <w:p>
            <w:pPr>
              <w:pStyle w:val="TableParagraph"/>
              <w:spacing w:line="252" w:lineRule="auto"/>
              <w:ind w:left="64" w:right="59"/>
              <w:rPr>
                <w:sz w:val="22"/>
              </w:rPr>
            </w:pPr>
            <w:r>
              <w:rPr>
                <w:sz w:val="22"/>
              </w:rPr>
              <w:t>CAE ve kuruluş prosedürleri hakkında kapsamlı bilgiye sahip olmak,</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11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166"/>
              <w:ind w:left="369" w:right="369"/>
              <w:jc w:val="center"/>
              <w:rPr>
                <w:sz w:val="22"/>
              </w:rPr>
            </w:pPr>
            <w:r>
              <w:rPr>
                <w:w w:val="95"/>
                <w:sz w:val="22"/>
              </w:rPr>
              <w:t>AAD-4</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9"/>
              <w:rPr>
                <w:sz w:val="26"/>
              </w:rPr>
            </w:pPr>
          </w:p>
          <w:p>
            <w:pPr>
              <w:pStyle w:val="TableParagraph"/>
              <w:spacing w:line="254" w:lineRule="auto"/>
              <w:ind w:left="64" w:right="572"/>
              <w:rPr>
                <w:sz w:val="22"/>
              </w:rPr>
            </w:pPr>
            <w:r>
              <w:rPr>
                <w:sz w:val="22"/>
              </w:rPr>
              <w:t>AMC1 </w:t>
            </w:r>
            <w:r>
              <w:rPr>
                <w:w w:val="90"/>
                <w:sz w:val="22"/>
              </w:rPr>
              <w:t>CAO.A.035(c)</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73"/>
              <w:ind w:left="64" w:right="61"/>
              <w:jc w:val="both"/>
              <w:rPr>
                <w:sz w:val="22"/>
              </w:rPr>
            </w:pPr>
            <w:r>
              <w:rPr>
                <w:sz w:val="22"/>
              </w:rPr>
              <w:t>En az iki yılı havacılık sektöründe uygun bir pozisyonda olmak üzere, beş yıllık havacılık tecrübesine  sahip olmak;</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290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14"/>
              <w:ind w:left="369" w:right="369"/>
              <w:jc w:val="center"/>
              <w:rPr>
                <w:sz w:val="22"/>
              </w:rPr>
            </w:pPr>
            <w:r>
              <w:rPr>
                <w:w w:val="95"/>
                <w:sz w:val="22"/>
              </w:rPr>
              <w:t>AAD-5</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spacing w:before="11"/>
              <w:rPr>
                <w:sz w:val="30"/>
              </w:rPr>
            </w:pPr>
          </w:p>
          <w:p>
            <w:pPr>
              <w:pStyle w:val="TableParagraph"/>
              <w:spacing w:line="254" w:lineRule="auto"/>
              <w:ind w:left="64" w:right="572"/>
              <w:rPr>
                <w:sz w:val="22"/>
              </w:rPr>
            </w:pPr>
            <w:r>
              <w:rPr>
                <w:sz w:val="22"/>
              </w:rPr>
              <w:t>AMC1 </w:t>
            </w:r>
            <w:r>
              <w:rPr>
                <w:w w:val="90"/>
                <w:sz w:val="22"/>
              </w:rPr>
              <w:t>CAO.A.035(c)</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10"/>
              <w:rPr>
                <w:sz w:val="19"/>
              </w:rPr>
            </w:pPr>
          </w:p>
          <w:p>
            <w:pPr>
              <w:pStyle w:val="TableParagraph"/>
              <w:spacing w:line="254" w:lineRule="auto"/>
              <w:ind w:left="64" w:right="59"/>
              <w:jc w:val="both"/>
              <w:rPr>
                <w:sz w:val="22"/>
              </w:rPr>
            </w:pPr>
            <w:r>
              <w:rPr>
                <w:sz w:val="22"/>
              </w:rPr>
              <w:t>Onay kapsamında yer alan ilgili örnek hava aracı</w:t>
            </w:r>
            <w:r>
              <w:rPr>
                <w:spacing w:val="-15"/>
                <w:sz w:val="22"/>
              </w:rPr>
              <w:t> </w:t>
            </w:r>
            <w:r>
              <w:rPr>
                <w:sz w:val="22"/>
              </w:rPr>
              <w:t>tipi veya</w:t>
            </w:r>
            <w:r>
              <w:rPr>
                <w:spacing w:val="-18"/>
                <w:sz w:val="22"/>
              </w:rPr>
              <w:t> </w:t>
            </w:r>
            <w:r>
              <w:rPr>
                <w:sz w:val="22"/>
              </w:rPr>
              <w:t>komponentine</w:t>
            </w:r>
            <w:r>
              <w:rPr>
                <w:spacing w:val="-19"/>
                <w:sz w:val="22"/>
              </w:rPr>
              <w:t> </w:t>
            </w:r>
            <w:r>
              <w:rPr>
                <w:sz w:val="22"/>
              </w:rPr>
              <w:t>ait</w:t>
            </w:r>
            <w:r>
              <w:rPr>
                <w:spacing w:val="-19"/>
                <w:sz w:val="22"/>
              </w:rPr>
              <w:t> </w:t>
            </w:r>
            <w:r>
              <w:rPr>
                <w:sz w:val="22"/>
              </w:rPr>
              <w:t>bilgi</w:t>
            </w:r>
            <w:r>
              <w:rPr>
                <w:spacing w:val="-19"/>
                <w:sz w:val="22"/>
              </w:rPr>
              <w:t> </w:t>
            </w:r>
            <w:r>
              <w:rPr>
                <w:sz w:val="22"/>
              </w:rPr>
              <w:t>sahibi</w:t>
            </w:r>
            <w:r>
              <w:rPr>
                <w:spacing w:val="-19"/>
                <w:sz w:val="22"/>
              </w:rPr>
              <w:t> </w:t>
            </w:r>
            <w:r>
              <w:rPr>
                <w:sz w:val="22"/>
              </w:rPr>
              <w:t>olmak.</w:t>
            </w:r>
            <w:r>
              <w:rPr>
                <w:spacing w:val="-19"/>
                <w:sz w:val="22"/>
              </w:rPr>
              <w:t> </w:t>
            </w:r>
            <w:r>
              <w:rPr>
                <w:sz w:val="22"/>
              </w:rPr>
              <w:t>'İlgili</w:t>
            </w:r>
            <w:r>
              <w:rPr>
                <w:spacing w:val="-21"/>
                <w:sz w:val="22"/>
              </w:rPr>
              <w:t> </w:t>
            </w:r>
            <w:r>
              <w:rPr>
                <w:sz w:val="22"/>
              </w:rPr>
              <w:t>örnek hava aracı', bu eğitimlerin söz konusu onay kapsamında olan ve hava araçlarında yer alan tipik sistemleri içermesi gerektiği anlamına</w:t>
            </w:r>
            <w:r>
              <w:rPr>
                <w:spacing w:val="25"/>
                <w:sz w:val="22"/>
              </w:rPr>
              <w:t> </w:t>
            </w:r>
            <w:r>
              <w:rPr>
                <w:sz w:val="22"/>
              </w:rPr>
              <w:t>gelmektedir.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spacing w:line="254" w:lineRule="auto" w:before="3"/>
              <w:ind w:left="69" w:right="65"/>
              <w:jc w:val="both"/>
              <w:rPr>
                <w:sz w:val="22"/>
              </w:rPr>
            </w:pPr>
            <w:r>
              <w:rPr>
                <w:color w:val="FFFFFF"/>
                <w:sz w:val="22"/>
              </w:rPr>
              <w:t>Bu bilgi, resmi bir eğitim yada Genel Müdürlükçe gerçekleştirilecek mülakat yolu ile gösterilebilir. Bu eğitimler en azından SHT-66, Ek 3, Seviye 1'e eşdeğer bir</w:t>
            </w:r>
            <w:r>
              <w:rPr>
                <w:color w:val="FFFFFF"/>
                <w:spacing w:val="-14"/>
                <w:sz w:val="22"/>
              </w:rPr>
              <w:t> </w:t>
            </w:r>
            <w:r>
              <w:rPr>
                <w:color w:val="FFFFFF"/>
                <w:sz w:val="22"/>
              </w:rPr>
              <w:t>seviyede</w:t>
            </w:r>
            <w:r>
              <w:rPr>
                <w:color w:val="FFFFFF"/>
                <w:spacing w:val="-16"/>
                <w:sz w:val="22"/>
              </w:rPr>
              <w:t> </w:t>
            </w:r>
            <w:r>
              <w:rPr>
                <w:color w:val="FFFFFF"/>
                <w:sz w:val="22"/>
              </w:rPr>
              <w:t>olmalıdır</w:t>
            </w:r>
            <w:r>
              <w:rPr>
                <w:color w:val="FFFFFF"/>
                <w:spacing w:val="-14"/>
                <w:sz w:val="22"/>
              </w:rPr>
              <w:t> </w:t>
            </w:r>
            <w:r>
              <w:rPr>
                <w:color w:val="FFFFFF"/>
                <w:sz w:val="22"/>
              </w:rPr>
              <w:t>ve</w:t>
            </w:r>
            <w:r>
              <w:rPr>
                <w:color w:val="FFFFFF"/>
                <w:spacing w:val="-12"/>
                <w:sz w:val="22"/>
              </w:rPr>
              <w:t> </w:t>
            </w:r>
            <w:r>
              <w:rPr>
                <w:color w:val="FFFFFF"/>
                <w:sz w:val="22"/>
              </w:rPr>
              <w:t>bir</w:t>
            </w:r>
            <w:r>
              <w:rPr>
                <w:color w:val="FFFFFF"/>
                <w:spacing w:val="-14"/>
                <w:sz w:val="22"/>
              </w:rPr>
              <w:t> </w:t>
            </w:r>
            <w:r>
              <w:rPr>
                <w:color w:val="FFFFFF"/>
                <w:sz w:val="22"/>
              </w:rPr>
              <w:t>SHT-147</w:t>
            </w:r>
            <w:r>
              <w:rPr>
                <w:color w:val="FFFFFF"/>
                <w:spacing w:val="-12"/>
                <w:sz w:val="22"/>
              </w:rPr>
              <w:t> </w:t>
            </w:r>
            <w:r>
              <w:rPr>
                <w:color w:val="FFFFFF"/>
                <w:w w:val="110"/>
                <w:sz w:val="22"/>
              </w:rPr>
              <w:t>/</w:t>
            </w:r>
            <w:r>
              <w:rPr>
                <w:color w:val="FFFFFF"/>
                <w:spacing w:val="-18"/>
                <w:w w:val="110"/>
                <w:sz w:val="22"/>
              </w:rPr>
              <w:t> </w:t>
            </w:r>
            <w:r>
              <w:rPr>
                <w:color w:val="FFFFFF"/>
                <w:sz w:val="22"/>
              </w:rPr>
              <w:t>EASA</w:t>
            </w:r>
            <w:r>
              <w:rPr>
                <w:color w:val="FFFFFF"/>
                <w:spacing w:val="-16"/>
                <w:sz w:val="22"/>
              </w:rPr>
              <w:t> </w:t>
            </w:r>
            <w:r>
              <w:rPr>
                <w:color w:val="FFFFFF"/>
                <w:sz w:val="22"/>
              </w:rPr>
              <w:t>Part-147 kuruluşu tarafından, imalatçı tarafından veya Genel Müdürlük tarafından kabul edilen başka bir kuruluş tarafından</w:t>
            </w:r>
            <w:r>
              <w:rPr>
                <w:color w:val="FFFFFF"/>
                <w:spacing w:val="1"/>
                <w:sz w:val="22"/>
              </w:rPr>
              <w:t> </w:t>
            </w:r>
            <w:r>
              <w:rPr>
                <w:color w:val="FFFFFF"/>
                <w:sz w:val="22"/>
              </w:rPr>
              <w:t>verilebilir.</w:t>
            </w:r>
          </w:p>
        </w:tc>
      </w:tr>
      <w:tr>
        <w:trPr>
          <w:trHeight w:val="11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166"/>
              <w:ind w:left="369" w:right="369"/>
              <w:jc w:val="center"/>
              <w:rPr>
                <w:sz w:val="22"/>
              </w:rPr>
            </w:pPr>
            <w:r>
              <w:rPr>
                <w:w w:val="95"/>
                <w:sz w:val="22"/>
              </w:rPr>
              <w:t>AAD-6</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9"/>
              <w:rPr>
                <w:sz w:val="26"/>
              </w:rPr>
            </w:pPr>
          </w:p>
          <w:p>
            <w:pPr>
              <w:pStyle w:val="TableParagraph"/>
              <w:spacing w:line="254" w:lineRule="auto"/>
              <w:ind w:left="64" w:right="572"/>
              <w:rPr>
                <w:sz w:val="22"/>
              </w:rPr>
            </w:pPr>
            <w:r>
              <w:rPr>
                <w:sz w:val="22"/>
              </w:rPr>
              <w:t>AMC1 </w:t>
            </w:r>
            <w:r>
              <w:rPr>
                <w:w w:val="90"/>
                <w:sz w:val="22"/>
              </w:rPr>
              <w:t>CAO.A.035(c)</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before="9"/>
              <w:rPr>
                <w:sz w:val="26"/>
              </w:rPr>
            </w:pPr>
          </w:p>
          <w:p>
            <w:pPr>
              <w:pStyle w:val="TableParagraph"/>
              <w:spacing w:line="254" w:lineRule="auto"/>
              <w:ind w:left="64" w:right="59"/>
              <w:rPr>
                <w:sz w:val="22"/>
              </w:rPr>
            </w:pPr>
            <w:r>
              <w:rPr>
                <w:sz w:val="22"/>
              </w:rPr>
              <w:t>Kalite sistemi veya organizasyonel gözden geçirme sistemine ilişkin bilgi sahibi olmak</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bl>
    <w:p>
      <w:pPr>
        <w:spacing w:after="0"/>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8"/>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2"/>
        <w:gridCol w:w="4975"/>
      </w:tblGrid>
      <w:tr>
        <w:trPr>
          <w:trHeight w:val="114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spacing w:before="164"/>
              <w:ind w:left="369" w:right="369"/>
              <w:jc w:val="center"/>
              <w:rPr>
                <w:sz w:val="22"/>
              </w:rPr>
            </w:pPr>
            <w:r>
              <w:rPr>
                <w:w w:val="95"/>
                <w:sz w:val="22"/>
              </w:rPr>
              <w:t>AAD-7</w:t>
            </w:r>
          </w:p>
        </w:tc>
        <w:tc>
          <w:tcPr>
            <w:tcW w:w="1843" w:type="dxa"/>
            <w:tcBorders>
              <w:left w:val="single" w:sz="4" w:space="0" w:color="3366FF"/>
              <w:bottom w:val="single" w:sz="4" w:space="0" w:color="3366FF"/>
              <w:right w:val="single" w:sz="4" w:space="0" w:color="3366FF"/>
            </w:tcBorders>
          </w:tcPr>
          <w:p>
            <w:pPr>
              <w:pStyle w:val="TableParagraph"/>
              <w:spacing w:before="9"/>
              <w:rPr>
                <w:sz w:val="26"/>
              </w:rPr>
            </w:pPr>
          </w:p>
          <w:p>
            <w:pPr>
              <w:pStyle w:val="TableParagraph"/>
              <w:spacing w:line="252" w:lineRule="auto"/>
              <w:ind w:left="64" w:right="572"/>
              <w:rPr>
                <w:sz w:val="22"/>
              </w:rPr>
            </w:pPr>
            <w:r>
              <w:rPr>
                <w:sz w:val="22"/>
              </w:rPr>
              <w:t>AMC1 </w:t>
            </w:r>
            <w:r>
              <w:rPr>
                <w:w w:val="90"/>
                <w:sz w:val="22"/>
              </w:rPr>
              <w:t>CAO.A.035(c)</w:t>
            </w:r>
          </w:p>
        </w:tc>
        <w:tc>
          <w:tcPr>
            <w:tcW w:w="4800" w:type="dxa"/>
            <w:tcBorders>
              <w:left w:val="single" w:sz="4" w:space="0" w:color="3366FF"/>
              <w:bottom w:val="single" w:sz="4" w:space="0" w:color="3366FF"/>
              <w:right w:val="single" w:sz="4" w:space="0" w:color="3366FF"/>
            </w:tcBorders>
          </w:tcPr>
          <w:p>
            <w:pPr>
              <w:pStyle w:val="TableParagraph"/>
              <w:spacing w:before="9"/>
              <w:rPr>
                <w:sz w:val="26"/>
              </w:rPr>
            </w:pPr>
          </w:p>
          <w:p>
            <w:pPr>
              <w:pStyle w:val="TableParagraph"/>
              <w:spacing w:line="252" w:lineRule="auto"/>
              <w:ind w:left="64" w:right="59"/>
              <w:rPr>
                <w:sz w:val="22"/>
              </w:rPr>
            </w:pPr>
            <w:r>
              <w:rPr>
                <w:sz w:val="22"/>
              </w:rPr>
              <w:t>Bakım standartları ve insan faktörleri hakkında bilgi sahibi olmak.</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2" w:type="dxa"/>
            <w:tcBorders>
              <w:left w:val="single" w:sz="4" w:space="0" w:color="3366FF"/>
              <w:bottom w:val="single" w:sz="4" w:space="0" w:color="3366FF"/>
              <w:right w:val="nil"/>
            </w:tcBorders>
          </w:tcPr>
          <w:p>
            <w:pPr>
              <w:pStyle w:val="TableParagraph"/>
              <w:rPr>
                <w:sz w:val="22"/>
              </w:rPr>
            </w:pPr>
          </w:p>
        </w:tc>
        <w:tc>
          <w:tcPr>
            <w:tcW w:w="4975" w:type="dxa"/>
            <w:tcBorders>
              <w:left w:val="nil"/>
              <w:bottom w:val="nil"/>
              <w:right w:val="nil"/>
            </w:tcBorders>
            <w:shd w:val="clear" w:color="auto" w:fill="3366FF"/>
          </w:tcPr>
          <w:p>
            <w:pPr>
              <w:pStyle w:val="TableParagraph"/>
              <w:rPr>
                <w:sz w:val="22"/>
              </w:rPr>
            </w:pPr>
          </w:p>
        </w:tc>
      </w:tr>
      <w:tr>
        <w:trPr>
          <w:trHeight w:val="11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166"/>
              <w:ind w:left="1"/>
              <w:jc w:val="center"/>
              <w:rPr>
                <w:sz w:val="22"/>
              </w:rPr>
            </w:pPr>
            <w:r>
              <w:rPr>
                <w:w w:val="101"/>
                <w:sz w:val="22"/>
              </w:rPr>
              <w:t>9</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166"/>
              <w:ind w:left="65"/>
              <w:rPr>
                <w:sz w:val="22"/>
              </w:rPr>
            </w:pPr>
            <w:r>
              <w:rPr>
                <w:w w:val="90"/>
                <w:sz w:val="22"/>
              </w:rPr>
              <w:t>CAO.A.035 (d)</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39"/>
              <w:ind w:left="64" w:right="59"/>
              <w:jc w:val="both"/>
              <w:rPr>
                <w:sz w:val="22"/>
              </w:rPr>
            </w:pPr>
            <w:r>
              <w:rPr>
                <w:sz w:val="22"/>
              </w:rPr>
              <w:t>Kuruluş, planlanan işlerin gerçekleştirilebilmesi için gerekli olan yeterli sayıda ve nitelikte personele sahip olur. Kuruluş, geçici sözleşmeli personel kullanabilir.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2" w:type="dxa"/>
            <w:tcBorders>
              <w:top w:val="single" w:sz="4" w:space="0" w:color="3366FF"/>
              <w:left w:val="single" w:sz="4" w:space="0" w:color="3366FF"/>
              <w:bottom w:val="single" w:sz="4" w:space="0" w:color="3366FF"/>
              <w:right w:val="nil"/>
            </w:tcBorders>
          </w:tcPr>
          <w:p>
            <w:pPr>
              <w:pStyle w:val="TableParagraph"/>
              <w:rPr>
                <w:sz w:val="22"/>
              </w:rPr>
            </w:pPr>
          </w:p>
        </w:tc>
        <w:tc>
          <w:tcPr>
            <w:tcW w:w="4975" w:type="dxa"/>
            <w:tcBorders>
              <w:top w:val="nil"/>
              <w:left w:val="nil"/>
              <w:bottom w:val="nil"/>
              <w:right w:val="nil"/>
            </w:tcBorders>
            <w:shd w:val="clear" w:color="auto" w:fill="3366FF"/>
          </w:tcPr>
          <w:p>
            <w:pPr>
              <w:pStyle w:val="TableParagraph"/>
              <w:rPr>
                <w:sz w:val="22"/>
              </w:rPr>
            </w:pPr>
          </w:p>
        </w:tc>
      </w:tr>
      <w:tr>
        <w:trPr>
          <w:trHeight w:val="11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166"/>
              <w:ind w:left="369" w:right="370"/>
              <w:jc w:val="center"/>
              <w:rPr>
                <w:sz w:val="22"/>
              </w:rPr>
            </w:pPr>
            <w:r>
              <w:rPr>
                <w:sz w:val="22"/>
              </w:rPr>
              <w:t>10</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166"/>
              <w:ind w:left="64"/>
              <w:rPr>
                <w:sz w:val="22"/>
              </w:rPr>
            </w:pPr>
            <w:r>
              <w:rPr>
                <w:w w:val="90"/>
                <w:sz w:val="22"/>
              </w:rPr>
              <w:t>CAO.A.035 (e)</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before="9"/>
              <w:rPr>
                <w:sz w:val="26"/>
              </w:rPr>
            </w:pPr>
          </w:p>
          <w:p>
            <w:pPr>
              <w:pStyle w:val="TableParagraph"/>
              <w:spacing w:line="254" w:lineRule="auto"/>
              <w:ind w:left="64" w:right="59"/>
              <w:rPr>
                <w:sz w:val="22"/>
              </w:rPr>
            </w:pPr>
            <w:r>
              <w:rPr>
                <w:sz w:val="22"/>
              </w:rPr>
              <w:t>Kuruluş, tüm personelinin yetkinliğini değerlendirir ve kayıt altına alır.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2" w:type="dxa"/>
            <w:tcBorders>
              <w:top w:val="single" w:sz="4" w:space="0" w:color="3366FF"/>
              <w:left w:val="single" w:sz="4" w:space="0" w:color="3366FF"/>
              <w:bottom w:val="single" w:sz="4" w:space="0" w:color="3366FF"/>
              <w:right w:val="nil"/>
            </w:tcBorders>
          </w:tcPr>
          <w:p>
            <w:pPr>
              <w:pStyle w:val="TableParagraph"/>
              <w:rPr>
                <w:sz w:val="22"/>
              </w:rPr>
            </w:pPr>
          </w:p>
        </w:tc>
        <w:tc>
          <w:tcPr>
            <w:tcW w:w="4975" w:type="dxa"/>
            <w:tcBorders>
              <w:top w:val="nil"/>
              <w:left w:val="nil"/>
              <w:bottom w:val="nil"/>
              <w:right w:val="nil"/>
            </w:tcBorders>
            <w:shd w:val="clear" w:color="auto" w:fill="3366FF"/>
          </w:tcPr>
          <w:p>
            <w:pPr>
              <w:pStyle w:val="TableParagraph"/>
              <w:rPr>
                <w:sz w:val="22"/>
              </w:rPr>
            </w:pPr>
          </w:p>
        </w:tc>
      </w:tr>
      <w:tr>
        <w:trPr>
          <w:trHeight w:val="160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5"/>
              <w:rPr>
                <w:sz w:val="34"/>
              </w:rPr>
            </w:pPr>
          </w:p>
          <w:p>
            <w:pPr>
              <w:pStyle w:val="TableParagraph"/>
              <w:spacing w:before="1"/>
              <w:ind w:left="369" w:right="369"/>
              <w:jc w:val="center"/>
              <w:rPr>
                <w:sz w:val="22"/>
              </w:rPr>
            </w:pPr>
            <w:r>
              <w:rPr>
                <w:w w:val="95"/>
                <w:sz w:val="22"/>
              </w:rPr>
              <w:t>AAD-1</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9"/>
              <w:rPr>
                <w:sz w:val="22"/>
              </w:rPr>
            </w:pPr>
          </w:p>
          <w:p>
            <w:pPr>
              <w:pStyle w:val="TableParagraph"/>
              <w:spacing w:line="254" w:lineRule="auto"/>
              <w:ind w:left="64" w:right="1"/>
              <w:rPr>
                <w:sz w:val="22"/>
              </w:rPr>
            </w:pPr>
            <w:r>
              <w:rPr>
                <w:sz w:val="22"/>
              </w:rPr>
              <w:t>AMC1 </w:t>
            </w:r>
            <w:r>
              <w:rPr>
                <w:w w:val="90"/>
                <w:sz w:val="22"/>
              </w:rPr>
              <w:t>CAO.A.035(e)</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8"/>
              <w:jc w:val="both"/>
              <w:rPr>
                <w:sz w:val="22"/>
              </w:rPr>
            </w:pPr>
            <w:r>
              <w:rPr>
                <w:w w:val="105"/>
                <w:sz w:val="22"/>
              </w:rPr>
              <w:t>Personnel involved in maintenance and</w:t>
            </w:r>
            <w:r>
              <w:rPr>
                <w:spacing w:val="-26"/>
                <w:w w:val="105"/>
                <w:sz w:val="22"/>
              </w:rPr>
              <w:t> </w:t>
            </w:r>
            <w:r>
              <w:rPr>
                <w:w w:val="105"/>
                <w:sz w:val="22"/>
              </w:rPr>
              <w:t>continuing airworthiness management should be assessed for competence by ‘on-the-job’ evaluation and/or by examination relevant to their particular job role within</w:t>
            </w:r>
            <w:r>
              <w:rPr>
                <w:spacing w:val="-26"/>
                <w:w w:val="105"/>
                <w:sz w:val="22"/>
              </w:rPr>
              <w:t> </w:t>
            </w:r>
            <w:r>
              <w:rPr>
                <w:w w:val="105"/>
                <w:sz w:val="22"/>
              </w:rPr>
              <w:t>the</w:t>
            </w:r>
            <w:r>
              <w:rPr>
                <w:spacing w:val="-28"/>
                <w:w w:val="105"/>
                <w:sz w:val="22"/>
              </w:rPr>
              <w:t> </w:t>
            </w:r>
            <w:r>
              <w:rPr>
                <w:w w:val="105"/>
                <w:sz w:val="22"/>
              </w:rPr>
              <w:t>organisation</w:t>
            </w:r>
            <w:r>
              <w:rPr>
                <w:spacing w:val="-26"/>
                <w:w w:val="105"/>
                <w:sz w:val="22"/>
              </w:rPr>
              <w:t> </w:t>
            </w:r>
            <w:r>
              <w:rPr>
                <w:w w:val="105"/>
                <w:sz w:val="22"/>
              </w:rPr>
              <w:t>before</w:t>
            </w:r>
            <w:r>
              <w:rPr>
                <w:spacing w:val="-26"/>
                <w:w w:val="105"/>
                <w:sz w:val="22"/>
              </w:rPr>
              <w:t> </w:t>
            </w:r>
            <w:r>
              <w:rPr>
                <w:w w:val="105"/>
                <w:sz w:val="22"/>
              </w:rPr>
              <w:t>unsupervised</w:t>
            </w:r>
            <w:r>
              <w:rPr>
                <w:spacing w:val="-26"/>
                <w:w w:val="105"/>
                <w:sz w:val="22"/>
              </w:rPr>
              <w:t> </w:t>
            </w:r>
            <w:r>
              <w:rPr>
                <w:w w:val="105"/>
                <w:sz w:val="22"/>
              </w:rPr>
              <w:t>work</w:t>
            </w:r>
            <w:r>
              <w:rPr>
                <w:spacing w:val="-24"/>
                <w:w w:val="105"/>
                <w:sz w:val="22"/>
              </w:rPr>
              <w:t> </w:t>
            </w:r>
            <w:r>
              <w:rPr>
                <w:w w:val="105"/>
                <w:sz w:val="22"/>
              </w:rPr>
              <w:t>is</w:t>
            </w:r>
          </w:p>
          <w:p>
            <w:pPr>
              <w:pStyle w:val="TableParagraph"/>
              <w:spacing w:line="248" w:lineRule="exact" w:before="1"/>
              <w:ind w:left="64"/>
              <w:jc w:val="both"/>
              <w:rPr>
                <w:sz w:val="22"/>
              </w:rPr>
            </w:pPr>
            <w:r>
              <w:rPr>
                <w:w w:val="105"/>
                <w:sz w:val="22"/>
              </w:rPr>
              <w:t>permitted.</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2" w:type="dxa"/>
            <w:tcBorders>
              <w:top w:val="single" w:sz="4" w:space="0" w:color="3366FF"/>
              <w:left w:val="single" w:sz="4" w:space="0" w:color="3366FF"/>
              <w:bottom w:val="single" w:sz="4" w:space="0" w:color="3366FF"/>
              <w:right w:val="nil"/>
            </w:tcBorders>
          </w:tcPr>
          <w:p>
            <w:pPr>
              <w:pStyle w:val="TableParagraph"/>
              <w:rPr>
                <w:sz w:val="22"/>
              </w:rPr>
            </w:pPr>
          </w:p>
        </w:tc>
        <w:tc>
          <w:tcPr>
            <w:tcW w:w="4975" w:type="dxa"/>
            <w:tcBorders>
              <w:top w:val="nil"/>
              <w:left w:val="nil"/>
              <w:bottom w:val="nil"/>
              <w:right w:val="nil"/>
            </w:tcBorders>
            <w:shd w:val="clear" w:color="auto" w:fill="3366FF"/>
          </w:tcPr>
          <w:p>
            <w:pPr>
              <w:pStyle w:val="TableParagraph"/>
              <w:rPr>
                <w:sz w:val="22"/>
              </w:rPr>
            </w:pPr>
          </w:p>
        </w:tc>
      </w:tr>
      <w:tr>
        <w:trPr>
          <w:trHeight w:val="8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4"/>
              <w:rPr>
                <w:sz w:val="26"/>
              </w:rPr>
            </w:pPr>
          </w:p>
          <w:p>
            <w:pPr>
              <w:pStyle w:val="TableParagraph"/>
              <w:ind w:left="369" w:right="369"/>
              <w:jc w:val="center"/>
              <w:rPr>
                <w:sz w:val="22"/>
              </w:rPr>
            </w:pPr>
            <w:r>
              <w:rPr>
                <w:w w:val="95"/>
                <w:sz w:val="22"/>
              </w:rPr>
              <w:t>AAD-2</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69"/>
              <w:ind w:left="64" w:right="1"/>
              <w:rPr>
                <w:sz w:val="22"/>
              </w:rPr>
            </w:pPr>
            <w:r>
              <w:rPr>
                <w:sz w:val="22"/>
              </w:rPr>
              <w:t>AMC1 </w:t>
            </w:r>
            <w:r>
              <w:rPr>
                <w:w w:val="90"/>
                <w:sz w:val="22"/>
              </w:rPr>
              <w:t>CAO.A.035(e)</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34"/>
              <w:ind w:left="64" w:right="60"/>
              <w:jc w:val="both"/>
              <w:rPr>
                <w:sz w:val="22"/>
              </w:rPr>
            </w:pPr>
            <w:r>
              <w:rPr>
                <w:w w:val="105"/>
                <w:sz w:val="22"/>
              </w:rPr>
              <w:t>Adequate initial and recurrent training should be provided and recorded to ensure continued competence.</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2" w:type="dxa"/>
            <w:tcBorders>
              <w:top w:val="single" w:sz="4" w:space="0" w:color="3366FF"/>
              <w:left w:val="single" w:sz="4" w:space="0" w:color="3366FF"/>
              <w:bottom w:val="single" w:sz="4" w:space="0" w:color="3366FF"/>
              <w:right w:val="nil"/>
            </w:tcBorders>
          </w:tcPr>
          <w:p>
            <w:pPr>
              <w:pStyle w:val="TableParagraph"/>
              <w:rPr>
                <w:sz w:val="22"/>
              </w:rPr>
            </w:pPr>
          </w:p>
        </w:tc>
        <w:tc>
          <w:tcPr>
            <w:tcW w:w="4975" w:type="dxa"/>
            <w:tcBorders>
              <w:top w:val="nil"/>
              <w:left w:val="nil"/>
              <w:bottom w:val="nil"/>
              <w:right w:val="nil"/>
            </w:tcBorders>
            <w:shd w:val="clear" w:color="auto" w:fill="3366FF"/>
          </w:tcPr>
          <w:p>
            <w:pPr>
              <w:pStyle w:val="TableParagraph"/>
              <w:rPr>
                <w:sz w:val="22"/>
              </w:rPr>
            </w:pPr>
          </w:p>
        </w:tc>
      </w:tr>
      <w:tr>
        <w:trPr>
          <w:trHeight w:val="280" w:hRule="atLeast"/>
        </w:trPr>
        <w:tc>
          <w:tcPr>
            <w:tcW w:w="16018" w:type="dxa"/>
            <w:gridSpan w:val="10"/>
            <w:tcBorders>
              <w:top w:val="single" w:sz="4" w:space="0" w:color="3366FF"/>
              <w:left w:val="single" w:sz="4" w:space="0" w:color="3366FF"/>
              <w:bottom w:val="single" w:sz="4" w:space="0" w:color="3366FF"/>
              <w:right w:val="single" w:sz="4" w:space="0" w:color="3366FF"/>
            </w:tcBorders>
            <w:shd w:val="clear" w:color="auto" w:fill="FFC000"/>
          </w:tcPr>
          <w:p>
            <w:pPr>
              <w:pStyle w:val="TableParagraph"/>
              <w:spacing w:before="1"/>
              <w:ind w:left="64"/>
              <w:rPr>
                <w:sz w:val="22"/>
              </w:rPr>
            </w:pPr>
            <w:r>
              <w:rPr>
                <w:sz w:val="22"/>
              </w:rPr>
              <w:t>CAO.A.045 Uçuşa elverişlilik gözden geçirme personeli</w:t>
            </w:r>
          </w:p>
        </w:tc>
      </w:tr>
    </w:tbl>
    <w:p>
      <w:pPr>
        <w:spacing w:after="0"/>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spacing w:before="6" w:after="1"/>
        <w:rPr>
          <w:sz w:val="17"/>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5500" w:hRule="atLeast"/>
        </w:trPr>
        <w:tc>
          <w:tcPr>
            <w:tcW w:w="1560" w:type="dxa"/>
            <w:tcBorders>
              <w:left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40"/>
              <w:ind w:left="369" w:right="370"/>
              <w:jc w:val="center"/>
              <w:rPr>
                <w:sz w:val="22"/>
              </w:rPr>
            </w:pPr>
            <w:r>
              <w:rPr>
                <w:sz w:val="22"/>
              </w:rPr>
              <w:t>11</w:t>
            </w:r>
          </w:p>
        </w:tc>
        <w:tc>
          <w:tcPr>
            <w:tcW w:w="1843" w:type="dxa"/>
            <w:tcBorders>
              <w:left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40"/>
              <w:ind w:left="64"/>
              <w:rPr>
                <w:sz w:val="22"/>
              </w:rPr>
            </w:pPr>
            <w:r>
              <w:rPr>
                <w:w w:val="90"/>
                <w:sz w:val="22"/>
              </w:rPr>
              <w:t>CAO.A.045 (a)</w:t>
            </w:r>
          </w:p>
        </w:tc>
        <w:tc>
          <w:tcPr>
            <w:tcW w:w="4800" w:type="dxa"/>
            <w:tcBorders>
              <w:left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line="254" w:lineRule="auto" w:before="154"/>
              <w:ind w:left="64" w:right="57"/>
              <w:jc w:val="both"/>
              <w:rPr>
                <w:sz w:val="22"/>
              </w:rPr>
            </w:pPr>
            <w:r>
              <w:rPr>
                <w:sz w:val="22"/>
              </w:rPr>
              <w:t>Uçuşa elverişlilik gözden geçirme ve uygulanabilir olduğunda uçuş izni onaylama işlemi gerçekleştirmek üzere onaylanabilmesi için CAO </w:t>
            </w:r>
            <w:r>
              <w:rPr>
                <w:w w:val="95"/>
                <w:sz w:val="22"/>
              </w:rPr>
              <w:t>CAO.A.045 (a) gereklilikleri sağlayan uçuşa</w:t>
            </w:r>
            <w:r>
              <w:rPr>
                <w:spacing w:val="-33"/>
                <w:w w:val="95"/>
                <w:sz w:val="22"/>
              </w:rPr>
              <w:t> </w:t>
            </w:r>
            <w:r>
              <w:rPr>
                <w:w w:val="95"/>
                <w:sz w:val="22"/>
              </w:rPr>
              <w:t>elverişlilik </w:t>
            </w:r>
            <w:r>
              <w:rPr>
                <w:sz w:val="22"/>
              </w:rPr>
              <w:t>gözden geçirme personeline sahip</w:t>
            </w:r>
            <w:r>
              <w:rPr>
                <w:spacing w:val="45"/>
                <w:sz w:val="22"/>
              </w:rPr>
              <w:t> </w:t>
            </w:r>
            <w:r>
              <w:rPr>
                <w:sz w:val="22"/>
              </w:rPr>
              <w:t>olur.</w:t>
            </w:r>
          </w:p>
        </w:tc>
        <w:tc>
          <w:tcPr>
            <w:tcW w:w="497" w:type="dxa"/>
            <w:tcBorders>
              <w:left w:val="single" w:sz="4" w:space="0" w:color="3366FF"/>
              <w:right w:val="single" w:sz="4" w:space="0" w:color="3366FF"/>
            </w:tcBorders>
          </w:tcPr>
          <w:p>
            <w:pPr>
              <w:pStyle w:val="TableParagraph"/>
              <w:rPr>
                <w:sz w:val="22"/>
              </w:rPr>
            </w:pPr>
          </w:p>
        </w:tc>
        <w:tc>
          <w:tcPr>
            <w:tcW w:w="492" w:type="dxa"/>
            <w:tcBorders>
              <w:left w:val="single" w:sz="4" w:space="0" w:color="3366FF"/>
              <w:right w:val="single" w:sz="4" w:space="0" w:color="3366FF"/>
            </w:tcBorders>
          </w:tcPr>
          <w:p>
            <w:pPr>
              <w:pStyle w:val="TableParagraph"/>
              <w:rPr>
                <w:sz w:val="22"/>
              </w:rPr>
            </w:pPr>
          </w:p>
        </w:tc>
        <w:tc>
          <w:tcPr>
            <w:tcW w:w="504" w:type="dxa"/>
            <w:tcBorders>
              <w:left w:val="single" w:sz="4" w:space="0" w:color="3366FF"/>
              <w:right w:val="single" w:sz="4" w:space="0" w:color="3366FF"/>
            </w:tcBorders>
          </w:tcPr>
          <w:p>
            <w:pPr>
              <w:pStyle w:val="TableParagraph"/>
              <w:rPr>
                <w:sz w:val="22"/>
              </w:rPr>
            </w:pPr>
          </w:p>
        </w:tc>
        <w:tc>
          <w:tcPr>
            <w:tcW w:w="487" w:type="dxa"/>
            <w:tcBorders>
              <w:left w:val="single" w:sz="4" w:space="0" w:color="3366FF"/>
              <w:right w:val="single" w:sz="4" w:space="0" w:color="3366FF"/>
            </w:tcBorders>
          </w:tcPr>
          <w:p>
            <w:pPr>
              <w:pStyle w:val="TableParagraph"/>
              <w:rPr>
                <w:sz w:val="22"/>
              </w:rPr>
            </w:pPr>
          </w:p>
        </w:tc>
        <w:tc>
          <w:tcPr>
            <w:tcW w:w="418" w:type="dxa"/>
            <w:tcBorders>
              <w:left w:val="single" w:sz="4" w:space="0" w:color="3366FF"/>
              <w:right w:val="single" w:sz="4" w:space="0" w:color="3366FF"/>
            </w:tcBorders>
          </w:tcPr>
          <w:p>
            <w:pPr>
              <w:pStyle w:val="TableParagraph"/>
              <w:rPr>
                <w:sz w:val="22"/>
              </w:rPr>
            </w:pPr>
          </w:p>
        </w:tc>
        <w:tc>
          <w:tcPr>
            <w:tcW w:w="446" w:type="dxa"/>
            <w:tcBorders>
              <w:left w:val="single" w:sz="4" w:space="0" w:color="3366FF"/>
              <w:right w:val="single" w:sz="4" w:space="0" w:color="3366FF"/>
            </w:tcBorders>
          </w:tcPr>
          <w:p>
            <w:pPr>
              <w:pStyle w:val="TableParagraph"/>
              <w:rPr>
                <w:sz w:val="22"/>
              </w:rPr>
            </w:pPr>
          </w:p>
        </w:tc>
        <w:tc>
          <w:tcPr>
            <w:tcW w:w="4970" w:type="dxa"/>
            <w:tcBorders>
              <w:left w:val="nil"/>
              <w:right w:val="nil"/>
            </w:tcBorders>
            <w:shd w:val="clear" w:color="auto" w:fill="3366FF"/>
          </w:tcPr>
          <w:p>
            <w:pPr>
              <w:pStyle w:val="TableParagraph"/>
              <w:spacing w:line="254" w:lineRule="auto" w:before="3"/>
              <w:ind w:left="69" w:right="65"/>
              <w:jc w:val="both"/>
              <w:rPr>
                <w:sz w:val="22"/>
              </w:rPr>
            </w:pPr>
            <w:r>
              <w:rPr>
                <w:color w:val="FFFFFF"/>
                <w:w w:val="105"/>
                <w:sz w:val="22"/>
              </w:rPr>
              <w:t>Airworthiness review staff already authorised to perform  airworthiness  review  for   an  organisation</w:t>
            </w:r>
            <w:r>
              <w:rPr>
                <w:color w:val="FFFFFF"/>
                <w:spacing w:val="-13"/>
                <w:w w:val="105"/>
                <w:sz w:val="22"/>
              </w:rPr>
              <w:t> </w:t>
            </w:r>
            <w:r>
              <w:rPr>
                <w:color w:val="FFFFFF"/>
                <w:w w:val="105"/>
                <w:sz w:val="22"/>
              </w:rPr>
              <w:t>approved</w:t>
            </w:r>
            <w:r>
              <w:rPr>
                <w:color w:val="FFFFFF"/>
                <w:spacing w:val="-11"/>
                <w:w w:val="105"/>
                <w:sz w:val="22"/>
              </w:rPr>
              <w:t> </w:t>
            </w:r>
            <w:r>
              <w:rPr>
                <w:color w:val="FFFFFF"/>
                <w:w w:val="105"/>
                <w:sz w:val="22"/>
              </w:rPr>
              <w:t>in</w:t>
            </w:r>
            <w:r>
              <w:rPr>
                <w:color w:val="FFFFFF"/>
                <w:spacing w:val="-13"/>
                <w:w w:val="105"/>
                <w:sz w:val="22"/>
              </w:rPr>
              <w:t> </w:t>
            </w:r>
            <w:r>
              <w:rPr>
                <w:color w:val="FFFFFF"/>
                <w:w w:val="105"/>
                <w:sz w:val="22"/>
              </w:rPr>
              <w:t>accordance</w:t>
            </w:r>
            <w:r>
              <w:rPr>
                <w:color w:val="FFFFFF"/>
                <w:spacing w:val="-11"/>
                <w:w w:val="105"/>
                <w:sz w:val="22"/>
              </w:rPr>
              <w:t> </w:t>
            </w:r>
            <w:r>
              <w:rPr>
                <w:color w:val="FFFFFF"/>
                <w:w w:val="105"/>
                <w:sz w:val="22"/>
              </w:rPr>
              <w:t>Part-M</w:t>
            </w:r>
            <w:r>
              <w:rPr>
                <w:color w:val="FFFFFF"/>
                <w:spacing w:val="-13"/>
                <w:w w:val="105"/>
                <w:sz w:val="22"/>
              </w:rPr>
              <w:t> </w:t>
            </w:r>
            <w:r>
              <w:rPr>
                <w:color w:val="FFFFFF"/>
                <w:w w:val="105"/>
                <w:sz w:val="22"/>
              </w:rPr>
              <w:t>Subpart F,  Part-M  Subpart  G,   Part-CAMO   or   Part-  145</w:t>
            </w:r>
            <w:r>
              <w:rPr>
                <w:color w:val="FFFFFF"/>
                <w:spacing w:val="-14"/>
                <w:w w:val="105"/>
                <w:sz w:val="22"/>
              </w:rPr>
              <w:t> </w:t>
            </w:r>
            <w:r>
              <w:rPr>
                <w:color w:val="FFFFFF"/>
                <w:w w:val="105"/>
                <w:sz w:val="22"/>
              </w:rPr>
              <w:t>is</w:t>
            </w:r>
            <w:r>
              <w:rPr>
                <w:color w:val="FFFFFF"/>
                <w:spacing w:val="-17"/>
                <w:w w:val="105"/>
                <w:sz w:val="22"/>
              </w:rPr>
              <w:t> </w:t>
            </w:r>
            <w:r>
              <w:rPr>
                <w:color w:val="FFFFFF"/>
                <w:w w:val="105"/>
                <w:sz w:val="22"/>
              </w:rPr>
              <w:t>considered</w:t>
            </w:r>
            <w:r>
              <w:rPr>
                <w:color w:val="FFFFFF"/>
                <w:spacing w:val="-19"/>
                <w:w w:val="105"/>
                <w:sz w:val="22"/>
              </w:rPr>
              <w:t> </w:t>
            </w:r>
            <w:r>
              <w:rPr>
                <w:color w:val="FFFFFF"/>
                <w:w w:val="105"/>
                <w:sz w:val="22"/>
              </w:rPr>
              <w:t>to</w:t>
            </w:r>
            <w:r>
              <w:rPr>
                <w:color w:val="FFFFFF"/>
                <w:spacing w:val="-16"/>
                <w:w w:val="105"/>
                <w:sz w:val="22"/>
              </w:rPr>
              <w:t> </w:t>
            </w:r>
            <w:r>
              <w:rPr>
                <w:color w:val="FFFFFF"/>
                <w:w w:val="105"/>
                <w:sz w:val="22"/>
              </w:rPr>
              <w:t>be</w:t>
            </w:r>
            <w:r>
              <w:rPr>
                <w:color w:val="FFFFFF"/>
                <w:spacing w:val="-17"/>
                <w:w w:val="105"/>
                <w:sz w:val="22"/>
              </w:rPr>
              <w:t> </w:t>
            </w:r>
            <w:r>
              <w:rPr>
                <w:color w:val="FFFFFF"/>
                <w:w w:val="105"/>
                <w:sz w:val="22"/>
              </w:rPr>
              <w:t>authorised</w:t>
            </w:r>
            <w:r>
              <w:rPr>
                <w:color w:val="FFFFFF"/>
                <w:spacing w:val="-18"/>
                <w:w w:val="105"/>
                <w:sz w:val="22"/>
              </w:rPr>
              <w:t> </w:t>
            </w:r>
            <w:r>
              <w:rPr>
                <w:color w:val="FFFFFF"/>
                <w:w w:val="105"/>
                <w:sz w:val="22"/>
              </w:rPr>
              <w:t>in</w:t>
            </w:r>
            <w:r>
              <w:rPr>
                <w:color w:val="FFFFFF"/>
                <w:spacing w:val="-19"/>
                <w:w w:val="105"/>
                <w:sz w:val="22"/>
              </w:rPr>
              <w:t> </w:t>
            </w:r>
            <w:r>
              <w:rPr>
                <w:color w:val="FFFFFF"/>
                <w:w w:val="105"/>
                <w:sz w:val="22"/>
              </w:rPr>
              <w:t>accordance</w:t>
            </w:r>
            <w:r>
              <w:rPr>
                <w:color w:val="FFFFFF"/>
                <w:spacing w:val="-17"/>
                <w:w w:val="105"/>
                <w:sz w:val="22"/>
              </w:rPr>
              <w:t> </w:t>
            </w:r>
            <w:r>
              <w:rPr>
                <w:color w:val="FFFFFF"/>
                <w:w w:val="105"/>
                <w:sz w:val="22"/>
              </w:rPr>
              <w:t>with Part-CAO    when    such    organisation    applies for</w:t>
            </w:r>
            <w:r>
              <w:rPr>
                <w:color w:val="FFFFFF"/>
                <w:spacing w:val="-40"/>
                <w:w w:val="105"/>
                <w:sz w:val="22"/>
              </w:rPr>
              <w:t> </w:t>
            </w:r>
            <w:r>
              <w:rPr>
                <w:color w:val="FFFFFF"/>
                <w:w w:val="105"/>
                <w:sz w:val="22"/>
              </w:rPr>
              <w:t>a</w:t>
            </w:r>
            <w:r>
              <w:rPr>
                <w:color w:val="FFFFFF"/>
                <w:spacing w:val="-39"/>
                <w:w w:val="105"/>
                <w:sz w:val="22"/>
              </w:rPr>
              <w:t> </w:t>
            </w:r>
            <w:r>
              <w:rPr>
                <w:color w:val="FFFFFF"/>
                <w:w w:val="105"/>
                <w:sz w:val="22"/>
              </w:rPr>
              <w:t>Part-CAO</w:t>
            </w:r>
            <w:r>
              <w:rPr>
                <w:color w:val="FFFFFF"/>
                <w:spacing w:val="-39"/>
                <w:w w:val="105"/>
                <w:sz w:val="22"/>
              </w:rPr>
              <w:t> </w:t>
            </w:r>
            <w:r>
              <w:rPr>
                <w:color w:val="FFFFFF"/>
                <w:w w:val="105"/>
                <w:sz w:val="22"/>
              </w:rPr>
              <w:t>approval.</w:t>
            </w:r>
            <w:r>
              <w:rPr>
                <w:color w:val="FFFFFF"/>
                <w:spacing w:val="-40"/>
                <w:w w:val="105"/>
                <w:sz w:val="22"/>
              </w:rPr>
              <w:t> </w:t>
            </w:r>
            <w:r>
              <w:rPr>
                <w:color w:val="FFFFFF"/>
                <w:w w:val="105"/>
                <w:sz w:val="22"/>
              </w:rPr>
              <w:t>This</w:t>
            </w:r>
            <w:r>
              <w:rPr>
                <w:color w:val="FFFFFF"/>
                <w:spacing w:val="-39"/>
                <w:w w:val="105"/>
                <w:sz w:val="22"/>
              </w:rPr>
              <w:t> </w:t>
            </w:r>
            <w:r>
              <w:rPr>
                <w:color w:val="FFFFFF"/>
                <w:w w:val="105"/>
                <w:sz w:val="22"/>
              </w:rPr>
              <w:t>means</w:t>
            </w:r>
            <w:r>
              <w:rPr>
                <w:color w:val="FFFFFF"/>
                <w:spacing w:val="-39"/>
                <w:w w:val="105"/>
                <w:sz w:val="22"/>
              </w:rPr>
              <w:t> </w:t>
            </w:r>
            <w:r>
              <w:rPr>
                <w:color w:val="FFFFFF"/>
                <w:w w:val="105"/>
                <w:sz w:val="22"/>
              </w:rPr>
              <w:t>that</w:t>
            </w:r>
            <w:r>
              <w:rPr>
                <w:color w:val="FFFFFF"/>
                <w:spacing w:val="-39"/>
                <w:w w:val="105"/>
                <w:sz w:val="22"/>
              </w:rPr>
              <w:t> </w:t>
            </w:r>
            <w:r>
              <w:rPr>
                <w:color w:val="FFFFFF"/>
                <w:w w:val="105"/>
                <w:sz w:val="22"/>
              </w:rPr>
              <w:t>no</w:t>
            </w:r>
            <w:r>
              <w:rPr>
                <w:color w:val="FFFFFF"/>
                <w:spacing w:val="-39"/>
                <w:w w:val="105"/>
                <w:sz w:val="22"/>
              </w:rPr>
              <w:t> </w:t>
            </w:r>
            <w:r>
              <w:rPr>
                <w:color w:val="FFFFFF"/>
                <w:w w:val="105"/>
                <w:sz w:val="22"/>
              </w:rPr>
              <w:t>additional supervision    is    needed     to     be     authorised   to</w:t>
            </w:r>
            <w:r>
              <w:rPr>
                <w:color w:val="FFFFFF"/>
                <w:spacing w:val="-12"/>
                <w:w w:val="105"/>
                <w:sz w:val="22"/>
              </w:rPr>
              <w:t> </w:t>
            </w:r>
            <w:r>
              <w:rPr>
                <w:color w:val="FFFFFF"/>
                <w:w w:val="105"/>
                <w:sz w:val="22"/>
              </w:rPr>
              <w:t>be</w:t>
            </w:r>
            <w:r>
              <w:rPr>
                <w:color w:val="FFFFFF"/>
                <w:spacing w:val="-10"/>
                <w:w w:val="105"/>
                <w:sz w:val="22"/>
              </w:rPr>
              <w:t> </w:t>
            </w:r>
            <w:r>
              <w:rPr>
                <w:color w:val="FFFFFF"/>
                <w:w w:val="105"/>
                <w:sz w:val="22"/>
              </w:rPr>
              <w:t>accepted</w:t>
            </w:r>
            <w:r>
              <w:rPr>
                <w:color w:val="FFFFFF"/>
                <w:spacing w:val="-14"/>
                <w:w w:val="105"/>
                <w:sz w:val="22"/>
              </w:rPr>
              <w:t> </w:t>
            </w:r>
            <w:r>
              <w:rPr>
                <w:color w:val="FFFFFF"/>
                <w:w w:val="105"/>
                <w:sz w:val="22"/>
              </w:rPr>
              <w:t>to</w:t>
            </w:r>
            <w:r>
              <w:rPr>
                <w:color w:val="FFFFFF"/>
                <w:spacing w:val="-12"/>
                <w:w w:val="105"/>
                <w:sz w:val="22"/>
              </w:rPr>
              <w:t> </w:t>
            </w:r>
            <w:r>
              <w:rPr>
                <w:color w:val="FFFFFF"/>
                <w:w w:val="105"/>
                <w:sz w:val="22"/>
              </w:rPr>
              <w:t>continue</w:t>
            </w:r>
            <w:r>
              <w:rPr>
                <w:color w:val="FFFFFF"/>
                <w:spacing w:val="-12"/>
                <w:w w:val="105"/>
                <w:sz w:val="22"/>
              </w:rPr>
              <w:t> </w:t>
            </w:r>
            <w:r>
              <w:rPr>
                <w:color w:val="FFFFFF"/>
                <w:w w:val="105"/>
                <w:sz w:val="22"/>
              </w:rPr>
              <w:t>carrying</w:t>
            </w:r>
            <w:r>
              <w:rPr>
                <w:color w:val="FFFFFF"/>
                <w:spacing w:val="-10"/>
                <w:w w:val="105"/>
                <w:sz w:val="22"/>
              </w:rPr>
              <w:t> </w:t>
            </w:r>
            <w:r>
              <w:rPr>
                <w:color w:val="FFFFFF"/>
                <w:w w:val="105"/>
                <w:sz w:val="22"/>
              </w:rPr>
              <w:t>out</w:t>
            </w:r>
            <w:r>
              <w:rPr>
                <w:color w:val="FFFFFF"/>
                <w:spacing w:val="-9"/>
                <w:w w:val="105"/>
                <w:sz w:val="22"/>
              </w:rPr>
              <w:t> </w:t>
            </w:r>
            <w:r>
              <w:rPr>
                <w:color w:val="FFFFFF"/>
                <w:w w:val="105"/>
                <w:sz w:val="22"/>
              </w:rPr>
              <w:t>airworthiness reviews.  This  does  not  supersede   the requirement for the organisation to ensure that all personnel is competent for the job they are authorised.</w:t>
            </w:r>
          </w:p>
        </w:tc>
      </w:tr>
      <w:tr>
        <w:trPr>
          <w:trHeight w:val="260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spacing w:before="10"/>
              <w:rPr>
                <w:sz w:val="29"/>
              </w:rPr>
            </w:pPr>
          </w:p>
          <w:p>
            <w:pPr>
              <w:pStyle w:val="TableParagraph"/>
              <w:ind w:left="369" w:right="369"/>
              <w:jc w:val="center"/>
              <w:rPr>
                <w:sz w:val="22"/>
              </w:rPr>
            </w:pPr>
            <w:r>
              <w:rPr>
                <w:w w:val="95"/>
                <w:sz w:val="22"/>
              </w:rPr>
              <w:t>AAD-1</w:t>
            </w:r>
          </w:p>
        </w:tc>
        <w:tc>
          <w:tcPr>
            <w:tcW w:w="1843" w:type="dxa"/>
            <w:tcBorders>
              <w:left w:val="single" w:sz="4" w:space="0" w:color="3366FF"/>
              <w:bottom w:val="single" w:sz="4" w:space="0" w:color="3366FF"/>
              <w:right w:val="single" w:sz="4" w:space="0" w:color="3366FF"/>
            </w:tcBorders>
          </w:tcPr>
          <w:p>
            <w:pPr>
              <w:pStyle w:val="TableParagraph"/>
              <w:rPr>
                <w:sz w:val="22"/>
              </w:rPr>
            </w:pPr>
          </w:p>
        </w:tc>
        <w:tc>
          <w:tcPr>
            <w:tcW w:w="4800" w:type="dxa"/>
            <w:tcBorders>
              <w:left w:val="single" w:sz="4" w:space="0" w:color="3366FF"/>
              <w:bottom w:val="nil"/>
              <w:right w:val="single" w:sz="4" w:space="0" w:color="3366FF"/>
            </w:tcBorders>
          </w:tcPr>
          <w:p>
            <w:pPr>
              <w:pStyle w:val="TableParagraph"/>
              <w:spacing w:line="254" w:lineRule="auto" w:before="3"/>
              <w:ind w:left="64" w:right="241"/>
              <w:rPr>
                <w:sz w:val="22"/>
              </w:rPr>
            </w:pPr>
            <w:r>
              <w:rPr>
                <w:sz w:val="22"/>
              </w:rPr>
              <w:t>Sürekli uçuşa elverişlilik konusunda planör ve balonlarda en az bir yıl ve diğer hava araçlarında 3 yıllık deneyime sahip olma,</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tabs>
                <w:tab w:pos="1708" w:val="left" w:leader="none"/>
                <w:tab w:pos="3681" w:val="left" w:leader="none"/>
              </w:tabs>
              <w:spacing w:line="254" w:lineRule="auto" w:before="3"/>
              <w:ind w:left="69" w:right="66"/>
              <w:jc w:val="both"/>
              <w:rPr>
                <w:sz w:val="22"/>
              </w:rPr>
            </w:pPr>
            <w:r>
              <w:rPr>
                <w:color w:val="FFFFFF"/>
                <w:sz w:val="22"/>
              </w:rPr>
              <w:t>‘Experience in continuing airworthiness’ in CAO.A.045(a) refers to any appropriate combination of experience in tasks related to aircraft maintenance and/or</w:t>
              <w:tab/>
              <w:t>continuing</w:t>
              <w:tab/>
            </w:r>
            <w:r>
              <w:rPr>
                <w:color w:val="FFFFFF"/>
                <w:spacing w:val="-1"/>
                <w:sz w:val="22"/>
              </w:rPr>
              <w:t>airworthiness </w:t>
            </w:r>
            <w:r>
              <w:rPr>
                <w:color w:val="FFFFFF"/>
                <w:sz w:val="22"/>
              </w:rPr>
              <w:t>management and/or surveillance  of such</w:t>
            </w:r>
            <w:r>
              <w:rPr>
                <w:color w:val="FFFFFF"/>
                <w:spacing w:val="45"/>
                <w:sz w:val="22"/>
              </w:rPr>
              <w:t> </w:t>
            </w:r>
            <w:r>
              <w:rPr>
                <w:color w:val="FFFFFF"/>
                <w:sz w:val="22"/>
              </w:rPr>
              <w:t>tasks.</w:t>
            </w:r>
          </w:p>
        </w:tc>
      </w:tr>
    </w:tbl>
    <w:p>
      <w:pPr>
        <w:spacing w:after="0" w:line="254" w:lineRule="auto"/>
        <w:jc w:val="both"/>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spacing w:before="10"/>
        <w:rPr>
          <w:sz w:val="28"/>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406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
              <w:rPr>
                <w:sz w:val="20"/>
              </w:rPr>
            </w:pPr>
          </w:p>
          <w:p>
            <w:pPr>
              <w:pStyle w:val="TableParagraph"/>
              <w:spacing w:before="1"/>
              <w:ind w:left="369" w:right="369"/>
              <w:jc w:val="center"/>
              <w:rPr>
                <w:sz w:val="22"/>
              </w:rPr>
            </w:pPr>
            <w:r>
              <w:rPr>
                <w:w w:val="95"/>
                <w:sz w:val="22"/>
              </w:rPr>
              <w:t>AAD-2</w:t>
            </w:r>
          </w:p>
        </w:tc>
        <w:tc>
          <w:tcPr>
            <w:tcW w:w="1843" w:type="dxa"/>
            <w:tcBorders>
              <w:left w:val="single" w:sz="4" w:space="0" w:color="3366FF"/>
              <w:bottom w:val="single" w:sz="4" w:space="0" w:color="3366FF"/>
              <w:right w:val="single" w:sz="4" w:space="0" w:color="3366FF"/>
            </w:tcBorders>
          </w:tcPr>
          <w:p>
            <w:pPr>
              <w:pStyle w:val="TableParagraph"/>
              <w:rPr>
                <w:sz w:val="22"/>
              </w:rPr>
            </w:pPr>
          </w:p>
        </w:tc>
        <w:tc>
          <w:tcPr>
            <w:tcW w:w="4800" w:type="dxa"/>
            <w:tcBorders>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4"/>
              <w:rPr>
                <w:sz w:val="22"/>
              </w:rPr>
            </w:pPr>
          </w:p>
          <w:p>
            <w:pPr>
              <w:pStyle w:val="TableParagraph"/>
              <w:spacing w:line="254" w:lineRule="auto"/>
              <w:ind w:left="64" w:right="58"/>
              <w:jc w:val="both"/>
              <w:rPr>
                <w:sz w:val="22"/>
              </w:rPr>
            </w:pPr>
            <w:r>
              <w:rPr>
                <w:sz w:val="22"/>
              </w:rPr>
              <w:t>HBL-66</w:t>
            </w:r>
            <w:r>
              <w:rPr>
                <w:spacing w:val="-35"/>
                <w:sz w:val="22"/>
              </w:rPr>
              <w:t> </w:t>
            </w:r>
            <w:r>
              <w:rPr>
                <w:sz w:val="22"/>
              </w:rPr>
              <w:t>lisansı</w:t>
            </w:r>
            <w:r>
              <w:rPr>
                <w:spacing w:val="-36"/>
                <w:sz w:val="22"/>
              </w:rPr>
              <w:t> </w:t>
            </w:r>
            <w:r>
              <w:rPr>
                <w:sz w:val="22"/>
              </w:rPr>
              <w:t>veya</w:t>
            </w:r>
            <w:r>
              <w:rPr>
                <w:spacing w:val="-36"/>
                <w:sz w:val="22"/>
              </w:rPr>
              <w:t> </w:t>
            </w:r>
            <w:r>
              <w:rPr>
                <w:sz w:val="22"/>
              </w:rPr>
              <w:t>havacılık</w:t>
            </w:r>
            <w:r>
              <w:rPr>
                <w:spacing w:val="-35"/>
                <w:sz w:val="22"/>
              </w:rPr>
              <w:t> </w:t>
            </w:r>
            <w:r>
              <w:rPr>
                <w:sz w:val="22"/>
              </w:rPr>
              <w:t>ile</w:t>
            </w:r>
            <w:r>
              <w:rPr>
                <w:spacing w:val="-35"/>
                <w:sz w:val="22"/>
              </w:rPr>
              <w:t> </w:t>
            </w:r>
            <w:r>
              <w:rPr>
                <w:sz w:val="22"/>
              </w:rPr>
              <w:t>ilgili</w:t>
            </w:r>
            <w:r>
              <w:rPr>
                <w:spacing w:val="-36"/>
                <w:sz w:val="22"/>
              </w:rPr>
              <w:t> </w:t>
            </w:r>
            <w:r>
              <w:rPr>
                <w:sz w:val="22"/>
              </w:rPr>
              <w:t>lisans</w:t>
            </w:r>
            <w:r>
              <w:rPr>
                <w:spacing w:val="-36"/>
                <w:sz w:val="22"/>
              </w:rPr>
              <w:t> </w:t>
            </w:r>
            <w:r>
              <w:rPr>
                <w:sz w:val="22"/>
              </w:rPr>
              <w:t>diploması veya bunların ulusal eşdeğerini edinmiş olma veya 1inci bende ilave olarak planör ve balonlar için en az 2 yıl ve diğer hava araçları için 4 yıllık sürekli uçuşa elverişlilik konusunda deneyime sahip</w:t>
            </w:r>
            <w:r>
              <w:rPr>
                <w:spacing w:val="-11"/>
                <w:sz w:val="22"/>
              </w:rPr>
              <w:t> </w:t>
            </w:r>
            <w:r>
              <w:rPr>
                <w:sz w:val="22"/>
              </w:rPr>
              <w:t>olma,</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tabs>
                <w:tab w:pos="914" w:val="left" w:leader="none"/>
                <w:tab w:pos="2185" w:val="left" w:leader="none"/>
                <w:tab w:pos="3982" w:val="left" w:leader="none"/>
              </w:tabs>
              <w:spacing w:line="254" w:lineRule="auto" w:before="3"/>
              <w:ind w:left="69" w:right="64"/>
              <w:jc w:val="both"/>
              <w:rPr>
                <w:sz w:val="22"/>
              </w:rPr>
            </w:pPr>
            <w:r>
              <w:rPr>
                <w:color w:val="FFFFFF"/>
                <w:w w:val="105"/>
                <w:sz w:val="22"/>
              </w:rPr>
              <w:t>A person that holds a relevant engineering degree</w:t>
            </w:r>
            <w:r>
              <w:rPr>
                <w:color w:val="FFFFFF"/>
                <w:spacing w:val="-16"/>
                <w:w w:val="105"/>
                <w:sz w:val="22"/>
              </w:rPr>
              <w:t> </w:t>
            </w:r>
            <w:r>
              <w:rPr>
                <w:color w:val="FFFFFF"/>
                <w:w w:val="105"/>
                <w:sz w:val="22"/>
              </w:rPr>
              <w:t>or an</w:t>
              <w:tab/>
              <w:t>aircraft</w:t>
              <w:tab/>
              <w:t>maintenance</w:t>
              <w:tab/>
            </w:r>
            <w:r>
              <w:rPr>
                <w:color w:val="FFFFFF"/>
                <w:spacing w:val="-1"/>
                <w:sz w:val="22"/>
              </w:rPr>
              <w:t>technician </w:t>
            </w:r>
            <w:r>
              <w:rPr>
                <w:color w:val="FFFFFF"/>
                <w:w w:val="105"/>
                <w:sz w:val="22"/>
              </w:rPr>
              <w:t>qualification with additional education should be considered as holding the equivalent to an aeronautical degree. ‘Relevant engineering degree’ refers  to  an  engineering   degree   from mechanical, electrical, electronic, avionic or other studies relevant  to  the  maintenance  and continuing airworthiness of aircraft/aircraft components.</w:t>
            </w:r>
          </w:p>
        </w:tc>
      </w:tr>
      <w:tr>
        <w:trPr>
          <w:trHeight w:val="2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3"/>
              <w:ind w:left="369" w:right="369"/>
              <w:jc w:val="center"/>
              <w:rPr>
                <w:sz w:val="22"/>
              </w:rPr>
            </w:pPr>
            <w:r>
              <w:rPr>
                <w:w w:val="95"/>
                <w:sz w:val="22"/>
              </w:rPr>
              <w:t>AAD-3</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before="13"/>
              <w:ind w:left="65"/>
              <w:rPr>
                <w:sz w:val="22"/>
              </w:rPr>
            </w:pPr>
            <w:r>
              <w:rPr>
                <w:sz w:val="22"/>
              </w:rPr>
              <w:t>Resmi havacılık bakım eğitimine sahip olma,</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970" w:type="dxa"/>
            <w:tcBorders>
              <w:top w:val="nil"/>
              <w:left w:val="nil"/>
              <w:bottom w:val="nil"/>
              <w:right w:val="nil"/>
            </w:tcBorders>
            <w:shd w:val="clear" w:color="auto" w:fill="3366FF"/>
          </w:tcPr>
          <w:p>
            <w:pPr>
              <w:pStyle w:val="TableParagraph"/>
              <w:rPr>
                <w:sz w:val="20"/>
              </w:rPr>
            </w:pPr>
          </w:p>
        </w:tc>
      </w:tr>
      <w:tr>
        <w:trPr>
          <w:trHeight w:val="240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spacing w:before="6"/>
              <w:rPr>
                <w:sz w:val="21"/>
              </w:rPr>
            </w:pPr>
          </w:p>
          <w:p>
            <w:pPr>
              <w:pStyle w:val="TableParagraph"/>
              <w:ind w:left="64"/>
              <w:rPr>
                <w:sz w:val="22"/>
              </w:rPr>
            </w:pPr>
            <w:r>
              <w:rPr>
                <w:w w:val="90"/>
                <w:sz w:val="22"/>
              </w:rPr>
              <w:t>CAO.A.045 (b)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9"/>
              <w:jc w:val="both"/>
              <w:rPr>
                <w:sz w:val="22"/>
              </w:rPr>
            </w:pPr>
            <w:r>
              <w:rPr>
                <w:sz w:val="22"/>
              </w:rPr>
              <w:t>Atanan uçuşa elverişlilik gözden geçirme personelinin kuruluş tarafından yetkilendirilmesi sadece;</w:t>
            </w:r>
            <w:r>
              <w:rPr>
                <w:spacing w:val="-12"/>
                <w:sz w:val="22"/>
              </w:rPr>
              <w:t> </w:t>
            </w:r>
            <w:r>
              <w:rPr>
                <w:sz w:val="22"/>
              </w:rPr>
              <w:t>bir</w:t>
            </w:r>
            <w:r>
              <w:rPr>
                <w:spacing w:val="-12"/>
                <w:sz w:val="22"/>
              </w:rPr>
              <w:t> </w:t>
            </w:r>
            <w:r>
              <w:rPr>
                <w:sz w:val="22"/>
              </w:rPr>
              <w:t>uçuşa</w:t>
            </w:r>
            <w:r>
              <w:rPr>
                <w:spacing w:val="-12"/>
                <w:sz w:val="22"/>
              </w:rPr>
              <w:t> </w:t>
            </w:r>
            <w:r>
              <w:rPr>
                <w:sz w:val="22"/>
              </w:rPr>
              <w:t>elverişlilik</w:t>
            </w:r>
            <w:r>
              <w:rPr>
                <w:spacing w:val="-12"/>
                <w:sz w:val="22"/>
              </w:rPr>
              <w:t> </w:t>
            </w:r>
            <w:r>
              <w:rPr>
                <w:sz w:val="22"/>
              </w:rPr>
              <w:t>gözden</w:t>
            </w:r>
            <w:r>
              <w:rPr>
                <w:spacing w:val="-13"/>
                <w:sz w:val="22"/>
              </w:rPr>
              <w:t> </w:t>
            </w:r>
            <w:r>
              <w:rPr>
                <w:sz w:val="22"/>
              </w:rPr>
              <w:t>geçirme</w:t>
            </w:r>
            <w:r>
              <w:rPr>
                <w:spacing w:val="-12"/>
                <w:sz w:val="22"/>
              </w:rPr>
              <w:t> </w:t>
            </w:r>
            <w:r>
              <w:rPr>
                <w:sz w:val="22"/>
              </w:rPr>
              <w:t>işlemini Genel Müdürlüğün veya Genel Müdürlük tarafından onaylanmış bir prosedür doğrultusunda kuruluşun onaylı</w:t>
            </w:r>
            <w:r>
              <w:rPr>
                <w:spacing w:val="-11"/>
                <w:sz w:val="22"/>
              </w:rPr>
              <w:t> </w:t>
            </w:r>
            <w:r>
              <w:rPr>
                <w:sz w:val="22"/>
              </w:rPr>
              <w:t>uçuşa</w:t>
            </w:r>
            <w:r>
              <w:rPr>
                <w:spacing w:val="-12"/>
                <w:sz w:val="22"/>
              </w:rPr>
              <w:t> </w:t>
            </w:r>
            <w:r>
              <w:rPr>
                <w:sz w:val="22"/>
              </w:rPr>
              <w:t>elverişlilik</w:t>
            </w:r>
            <w:r>
              <w:rPr>
                <w:spacing w:val="-12"/>
                <w:sz w:val="22"/>
              </w:rPr>
              <w:t> </w:t>
            </w:r>
            <w:r>
              <w:rPr>
                <w:sz w:val="22"/>
              </w:rPr>
              <w:t>gözden</w:t>
            </w:r>
            <w:r>
              <w:rPr>
                <w:spacing w:val="-10"/>
                <w:sz w:val="22"/>
              </w:rPr>
              <w:t> </w:t>
            </w:r>
            <w:r>
              <w:rPr>
                <w:sz w:val="22"/>
              </w:rPr>
              <w:t>geçirme</w:t>
            </w:r>
            <w:r>
              <w:rPr>
                <w:spacing w:val="-8"/>
                <w:sz w:val="22"/>
              </w:rPr>
              <w:t> </w:t>
            </w:r>
            <w:r>
              <w:rPr>
                <w:sz w:val="22"/>
              </w:rPr>
              <w:t>personelinin gözetimi altında yeterli bir şekilde tamamlamasının ardından  Genel  Müdürlük  tarafından  resmi</w:t>
            </w:r>
            <w:r>
              <w:rPr>
                <w:spacing w:val="50"/>
                <w:sz w:val="22"/>
              </w:rPr>
              <w:t> </w:t>
            </w:r>
            <w:r>
              <w:rPr>
                <w:sz w:val="22"/>
              </w:rPr>
              <w:t>olarak</w:t>
            </w:r>
          </w:p>
          <w:p>
            <w:pPr>
              <w:pStyle w:val="TableParagraph"/>
              <w:spacing w:line="245" w:lineRule="exact" w:before="1"/>
              <w:ind w:left="64"/>
              <w:jc w:val="both"/>
              <w:rPr>
                <w:sz w:val="22"/>
              </w:rPr>
            </w:pPr>
            <w:r>
              <w:rPr>
                <w:sz w:val="22"/>
              </w:rPr>
              <w:t>kabul edildiği taktirde yayınlanabilir.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10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1"/>
              <w:rPr>
                <w:sz w:val="35"/>
              </w:rPr>
            </w:pPr>
          </w:p>
          <w:p>
            <w:pPr>
              <w:pStyle w:val="TableParagraph"/>
              <w:ind w:left="64"/>
              <w:rPr>
                <w:sz w:val="22"/>
              </w:rPr>
            </w:pPr>
            <w:r>
              <w:rPr>
                <w:w w:val="90"/>
                <w:sz w:val="22"/>
              </w:rPr>
              <w:t>CAO.A.045 (c)</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3"/>
              <w:ind w:left="64" w:right="58"/>
              <w:jc w:val="both"/>
              <w:rPr>
                <w:sz w:val="22"/>
              </w:rPr>
            </w:pPr>
            <w:r>
              <w:rPr>
                <w:sz w:val="22"/>
              </w:rPr>
              <w:t>CAO, hava aracı uçuşa elverişlilik gözden geçirme personelinin yakın dönemde uygun sürekli uçuşa elverişlilik yönetimi deneyimini</w:t>
            </w:r>
            <w:r>
              <w:rPr>
                <w:spacing w:val="-40"/>
                <w:sz w:val="22"/>
              </w:rPr>
              <w:t> </w:t>
            </w:r>
            <w:r>
              <w:rPr>
                <w:sz w:val="22"/>
              </w:rPr>
              <w:t>kanıtlayabildiğinden</w:t>
            </w:r>
          </w:p>
          <w:p>
            <w:pPr>
              <w:pStyle w:val="TableParagraph"/>
              <w:spacing w:line="248" w:lineRule="exact" w:before="1"/>
              <w:ind w:left="64"/>
              <w:jc w:val="both"/>
              <w:rPr>
                <w:sz w:val="22"/>
              </w:rPr>
            </w:pPr>
            <w:r>
              <w:rPr>
                <w:sz w:val="22"/>
              </w:rPr>
              <w:t>emin olmalıdır.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bl>
    <w:p>
      <w:pPr>
        <w:spacing w:after="0"/>
        <w:rPr>
          <w:sz w:val="22"/>
        </w:rPr>
        <w:sectPr>
          <w:pgSz w:w="16840" w:h="11910" w:orient="landscape"/>
          <w:pgMar w:header="991" w:footer="647" w:top="1980" w:bottom="840" w:left="160" w:right="420"/>
        </w:sectPr>
      </w:pPr>
    </w:p>
    <w:p>
      <w:pPr>
        <w:pStyle w:val="BodyText"/>
        <w:rPr>
          <w:sz w:val="20"/>
        </w:rPr>
      </w:pPr>
      <w:r>
        <w:rPr/>
        <w:pict>
          <v:group style="position:absolute;margin-left:91.910004pt;margin-top:69.110001pt;width:.5pt;height:30.05pt;mso-position-horizontal-relative:page;mso-position-vertical-relative:page;z-index:-138904" coordorigin="1838,1382" coordsize="10,601">
            <v:line style="position:absolute" from="1843,1387" to="1843,1687" stroked="true" strokeweight=".48pt" strokecolor="#3366ff">
              <v:stroke dashstyle="solid"/>
            </v:line>
            <v:line style="position:absolute" from="1843,1687" to="1843,1978" stroked="true" strokeweight=".48pt" strokecolor="#2d74b5">
              <v:stroke dashstyle="solid"/>
            </v:line>
            <w10:wrap type="none"/>
          </v:group>
        </w:pict>
      </w:r>
      <w:r>
        <w:rPr/>
        <w:pict>
          <v:line style="position:absolute;mso-position-horizontal-relative:page;mso-position-vertical-relative:page;z-index:-138880" from="544.200012pt,69.360001pt" to="544.200012pt,98.880001pt" stroked="true" strokeweight=".48pt" strokecolor="#2d74b5">
            <v:stroke dashstyle="solid"/>
            <w10:wrap type="none"/>
          </v:line>
        </w:pict>
      </w:r>
      <w:r>
        <w:rPr/>
        <w:pict>
          <v:line style="position:absolute;mso-position-horizontal-relative:page;mso-position-vertical-relative:page;z-index:-138856" from="815.039978pt,69.360001pt" to="815.039978pt,98.880001pt" stroked="true" strokeweight=".48pt" strokecolor="#2d74b5">
            <v:stroke dashstyle="solid"/>
            <w10:wrap type="none"/>
          </v:line>
        </w:pict>
      </w:r>
      <w:r>
        <w:rPr/>
        <w:pict>
          <v:shape style="position:absolute;margin-left:544.440002pt;margin-top:69.360001pt;width:270.4pt;height:29.55pt;mso-position-horizontal-relative:page;mso-position-vertical-relative:page;z-index:-138832" type="#_x0000_t202" filled="false" stroked="false">
            <v:textbox inset="0,0,0,0">
              <w:txbxContent>
                <w:p>
                  <w:pPr>
                    <w:pStyle w:val="BodyText"/>
                    <w:spacing w:before="4"/>
                    <w:rPr>
                      <w:sz w:val="25"/>
                    </w:rPr>
                  </w:pPr>
                </w:p>
                <w:p>
                  <w:pPr>
                    <w:pStyle w:val="BodyText"/>
                    <w:ind w:left="2185" w:right="2121"/>
                    <w:jc w:val="center"/>
                    <w:rPr>
                      <w:rFonts w:ascii="Calibri"/>
                    </w:rPr>
                  </w:pPr>
                  <w:r>
                    <w:rPr>
                      <w:rFonts w:ascii="Calibri"/>
                    </w:rPr>
                    <w:t>27/07/2026</w:t>
                  </w:r>
                </w:p>
              </w:txbxContent>
            </v:textbox>
            <w10:wrap type="none"/>
          </v:shape>
        </w:pict>
      </w:r>
    </w:p>
    <w:p>
      <w:pPr>
        <w:pStyle w:val="BodyText"/>
        <w:rPr>
          <w:sz w:val="20"/>
        </w:rPr>
      </w:pPr>
    </w:p>
    <w:p>
      <w:pPr>
        <w:pStyle w:val="BodyText"/>
        <w:rPr>
          <w:sz w:val="20"/>
        </w:rPr>
      </w:pPr>
    </w:p>
    <w:p>
      <w:pPr>
        <w:pStyle w:val="BodyText"/>
        <w:rPr>
          <w:sz w:val="20"/>
        </w:rPr>
      </w:pPr>
    </w:p>
    <w:p>
      <w:pPr>
        <w:pStyle w:val="BodyText"/>
        <w:spacing w:before="7" w:after="1"/>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134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spacing w:before="9"/>
              <w:rPr>
                <w:sz w:val="22"/>
              </w:rPr>
            </w:pPr>
          </w:p>
          <w:p>
            <w:pPr>
              <w:pStyle w:val="TableParagraph"/>
              <w:ind w:left="369" w:right="369"/>
              <w:jc w:val="center"/>
              <w:rPr>
                <w:sz w:val="22"/>
              </w:rPr>
            </w:pPr>
            <w:r>
              <w:rPr>
                <w:w w:val="95"/>
                <w:sz w:val="22"/>
              </w:rPr>
              <w:t>AAD-1</w:t>
            </w:r>
          </w:p>
        </w:tc>
        <w:tc>
          <w:tcPr>
            <w:tcW w:w="1843" w:type="dxa"/>
            <w:tcBorders>
              <w:left w:val="single" w:sz="4" w:space="0" w:color="3366FF"/>
              <w:bottom w:val="single" w:sz="4" w:space="0" w:color="3366FF"/>
              <w:right w:val="single" w:sz="4" w:space="0" w:color="3366FF"/>
            </w:tcBorders>
          </w:tcPr>
          <w:p>
            <w:pPr>
              <w:pStyle w:val="TableParagraph"/>
              <w:rPr>
                <w:sz w:val="22"/>
              </w:rPr>
            </w:pPr>
          </w:p>
        </w:tc>
        <w:tc>
          <w:tcPr>
            <w:tcW w:w="4800" w:type="dxa"/>
            <w:tcBorders>
              <w:left w:val="single" w:sz="4" w:space="0" w:color="3366FF"/>
              <w:bottom w:val="single" w:sz="4" w:space="0" w:color="3366FF"/>
              <w:right w:val="single" w:sz="4" w:space="0" w:color="3366FF"/>
            </w:tcBorders>
          </w:tcPr>
          <w:p>
            <w:pPr>
              <w:pStyle w:val="TableParagraph"/>
              <w:numPr>
                <w:ilvl w:val="0"/>
                <w:numId w:val="1"/>
              </w:numPr>
              <w:tabs>
                <w:tab w:pos="487" w:val="left" w:leader="none"/>
                <w:tab w:pos="2265" w:val="left" w:leader="none"/>
                <w:tab w:pos="4536" w:val="left" w:leader="none"/>
              </w:tabs>
              <w:spacing w:line="254" w:lineRule="auto" w:before="3" w:after="0"/>
              <w:ind w:left="64" w:right="58" w:firstLine="0"/>
              <w:jc w:val="both"/>
              <w:rPr>
                <w:sz w:val="22"/>
              </w:rPr>
            </w:pPr>
            <w:r>
              <w:rPr>
                <w:w w:val="105"/>
                <w:sz w:val="22"/>
              </w:rPr>
              <w:t>been involved in continuing airworthiness management</w:t>
            </w:r>
            <w:r>
              <w:rPr>
                <w:spacing w:val="-22"/>
                <w:w w:val="105"/>
                <w:sz w:val="22"/>
              </w:rPr>
              <w:t> </w:t>
            </w:r>
            <w:r>
              <w:rPr>
                <w:w w:val="105"/>
                <w:sz w:val="22"/>
              </w:rPr>
              <w:t>activities</w:t>
            </w:r>
            <w:r>
              <w:rPr>
                <w:spacing w:val="-22"/>
                <w:w w:val="105"/>
                <w:sz w:val="22"/>
              </w:rPr>
              <w:t> </w:t>
            </w:r>
            <w:r>
              <w:rPr>
                <w:w w:val="105"/>
                <w:sz w:val="22"/>
              </w:rPr>
              <w:t>for</w:t>
            </w:r>
            <w:r>
              <w:rPr>
                <w:spacing w:val="-22"/>
                <w:w w:val="105"/>
                <w:sz w:val="22"/>
              </w:rPr>
              <w:t> </w:t>
            </w:r>
            <w:r>
              <w:rPr>
                <w:w w:val="105"/>
                <w:sz w:val="22"/>
              </w:rPr>
              <w:t>at</w:t>
            </w:r>
            <w:r>
              <w:rPr>
                <w:spacing w:val="-21"/>
                <w:w w:val="105"/>
                <w:sz w:val="22"/>
              </w:rPr>
              <w:t> </w:t>
            </w:r>
            <w:r>
              <w:rPr>
                <w:w w:val="105"/>
                <w:sz w:val="22"/>
              </w:rPr>
              <w:t>least</w:t>
            </w:r>
            <w:r>
              <w:rPr>
                <w:spacing w:val="-22"/>
                <w:w w:val="105"/>
                <w:sz w:val="22"/>
              </w:rPr>
              <w:t> </w:t>
            </w:r>
            <w:r>
              <w:rPr>
                <w:w w:val="105"/>
                <w:sz w:val="22"/>
              </w:rPr>
              <w:t>6</w:t>
            </w:r>
            <w:r>
              <w:rPr>
                <w:spacing w:val="-22"/>
                <w:w w:val="105"/>
                <w:sz w:val="22"/>
              </w:rPr>
              <w:t> </w:t>
            </w:r>
            <w:r>
              <w:rPr>
                <w:w w:val="105"/>
                <w:sz w:val="22"/>
              </w:rPr>
              <w:t>months</w:t>
            </w:r>
            <w:r>
              <w:rPr>
                <w:spacing w:val="-20"/>
                <w:w w:val="105"/>
                <w:sz w:val="22"/>
              </w:rPr>
              <w:t> </w:t>
            </w:r>
            <w:r>
              <w:rPr>
                <w:w w:val="105"/>
                <w:sz w:val="22"/>
              </w:rPr>
              <w:t>in</w:t>
            </w:r>
            <w:r>
              <w:rPr>
                <w:spacing w:val="-21"/>
                <w:w w:val="105"/>
                <w:sz w:val="22"/>
              </w:rPr>
              <w:t> </w:t>
            </w:r>
            <w:r>
              <w:rPr>
                <w:w w:val="105"/>
                <w:sz w:val="22"/>
              </w:rPr>
              <w:t>every 2-year</w:t>
              <w:tab/>
              <w:t>period;</w:t>
              <w:tab/>
              <w:t>or</w:t>
            </w:r>
          </w:p>
          <w:p>
            <w:pPr>
              <w:pStyle w:val="TableParagraph"/>
              <w:numPr>
                <w:ilvl w:val="0"/>
                <w:numId w:val="1"/>
              </w:numPr>
              <w:tabs>
                <w:tab w:pos="390" w:val="left" w:leader="none"/>
              </w:tabs>
              <w:spacing w:line="240" w:lineRule="auto" w:before="1" w:after="0"/>
              <w:ind w:left="389" w:right="0" w:hanging="325"/>
              <w:jc w:val="both"/>
              <w:rPr>
                <w:sz w:val="22"/>
              </w:rPr>
            </w:pPr>
            <w:r>
              <w:rPr>
                <w:w w:val="105"/>
                <w:sz w:val="22"/>
              </w:rPr>
              <w:t>conducted at least one airworthiness review</w:t>
            </w:r>
            <w:r>
              <w:rPr>
                <w:spacing w:val="55"/>
                <w:w w:val="105"/>
                <w:sz w:val="22"/>
              </w:rPr>
              <w:t> </w:t>
            </w:r>
            <w:r>
              <w:rPr>
                <w:w w:val="105"/>
                <w:sz w:val="22"/>
              </w:rPr>
              <w:t>in</w:t>
            </w:r>
          </w:p>
          <w:p>
            <w:pPr>
              <w:pStyle w:val="TableParagraph"/>
              <w:spacing w:line="248" w:lineRule="exact" w:before="16"/>
              <w:ind w:left="64"/>
              <w:jc w:val="both"/>
              <w:rPr>
                <w:sz w:val="22"/>
              </w:rPr>
            </w:pPr>
            <w:r>
              <w:rPr>
                <w:w w:val="105"/>
                <w:sz w:val="22"/>
              </w:rPr>
              <w:t>the last 12-month period.</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r>
        <w:trPr>
          <w:trHeight w:val="5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57"/>
              <w:ind w:left="369" w:right="370"/>
              <w:jc w:val="center"/>
              <w:rPr>
                <w:sz w:val="22"/>
              </w:rPr>
            </w:pPr>
            <w:r>
              <w:rPr>
                <w:sz w:val="22"/>
              </w:rPr>
              <w:t>12</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157"/>
              <w:ind w:left="64"/>
              <w:rPr>
                <w:sz w:val="22"/>
              </w:rPr>
            </w:pPr>
            <w:r>
              <w:rPr>
                <w:w w:val="90"/>
                <w:sz w:val="22"/>
              </w:rPr>
              <w:t>CAO.A.045 (d)</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22"/>
              <w:ind w:left="64"/>
              <w:rPr>
                <w:sz w:val="22"/>
              </w:rPr>
            </w:pPr>
            <w:r>
              <w:rPr>
                <w:sz w:val="22"/>
              </w:rPr>
              <w:t>Tüm</w:t>
            </w:r>
            <w:r>
              <w:rPr>
                <w:spacing w:val="-21"/>
                <w:sz w:val="22"/>
              </w:rPr>
              <w:t> </w:t>
            </w:r>
            <w:r>
              <w:rPr>
                <w:sz w:val="22"/>
              </w:rPr>
              <w:t>uçuşa</w:t>
            </w:r>
            <w:r>
              <w:rPr>
                <w:spacing w:val="-23"/>
                <w:sz w:val="22"/>
              </w:rPr>
              <w:t> </w:t>
            </w:r>
            <w:r>
              <w:rPr>
                <w:sz w:val="22"/>
              </w:rPr>
              <w:t>elverişlilik</w:t>
            </w:r>
            <w:r>
              <w:rPr>
                <w:spacing w:val="-21"/>
                <w:sz w:val="22"/>
              </w:rPr>
              <w:t> </w:t>
            </w:r>
            <w:r>
              <w:rPr>
                <w:sz w:val="22"/>
              </w:rPr>
              <w:t>gözden</w:t>
            </w:r>
            <w:r>
              <w:rPr>
                <w:spacing w:val="-20"/>
                <w:sz w:val="22"/>
              </w:rPr>
              <w:t> </w:t>
            </w:r>
            <w:r>
              <w:rPr>
                <w:sz w:val="22"/>
              </w:rPr>
              <w:t>geçirme</w:t>
            </w:r>
            <w:r>
              <w:rPr>
                <w:spacing w:val="-22"/>
                <w:sz w:val="22"/>
              </w:rPr>
              <w:t> </w:t>
            </w:r>
            <w:r>
              <w:rPr>
                <w:sz w:val="22"/>
              </w:rPr>
              <w:t>personeli</w:t>
            </w:r>
            <w:r>
              <w:rPr>
                <w:spacing w:val="-23"/>
                <w:sz w:val="22"/>
              </w:rPr>
              <w:t> </w:t>
            </w:r>
            <w:r>
              <w:rPr>
                <w:sz w:val="22"/>
              </w:rPr>
              <w:t>yetki kapsamları</w:t>
            </w:r>
            <w:r>
              <w:rPr>
                <w:spacing w:val="-26"/>
                <w:sz w:val="22"/>
              </w:rPr>
              <w:t> </w:t>
            </w:r>
            <w:r>
              <w:rPr>
                <w:sz w:val="22"/>
              </w:rPr>
              <w:t>belirtilerek</w:t>
            </w:r>
            <w:r>
              <w:rPr>
                <w:spacing w:val="-26"/>
                <w:sz w:val="22"/>
              </w:rPr>
              <w:t> </w:t>
            </w:r>
            <w:r>
              <w:rPr>
                <w:sz w:val="22"/>
              </w:rPr>
              <w:t>CAE</w:t>
            </w:r>
            <w:r>
              <w:rPr>
                <w:spacing w:val="-25"/>
                <w:sz w:val="22"/>
              </w:rPr>
              <w:t> </w:t>
            </w:r>
            <w:r>
              <w:rPr>
                <w:sz w:val="22"/>
              </w:rPr>
              <w:t>içerisinde</w:t>
            </w:r>
            <w:r>
              <w:rPr>
                <w:spacing w:val="-24"/>
                <w:sz w:val="22"/>
              </w:rPr>
              <w:t> </w:t>
            </w:r>
            <w:r>
              <w:rPr>
                <w:sz w:val="22"/>
              </w:rPr>
              <w:t>listelenir.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18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2"/>
              <w:rPr>
                <w:sz w:val="22"/>
              </w:rPr>
            </w:pPr>
          </w:p>
          <w:p>
            <w:pPr>
              <w:pStyle w:val="TableParagraph"/>
              <w:ind w:left="369" w:right="370"/>
              <w:jc w:val="center"/>
              <w:rPr>
                <w:sz w:val="22"/>
              </w:rPr>
            </w:pPr>
            <w:r>
              <w:rPr>
                <w:sz w:val="22"/>
              </w:rPr>
              <w:t>13</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2"/>
              <w:rPr>
                <w:sz w:val="22"/>
              </w:rPr>
            </w:pPr>
          </w:p>
          <w:p>
            <w:pPr>
              <w:pStyle w:val="TableParagraph"/>
              <w:ind w:left="64"/>
              <w:rPr>
                <w:sz w:val="22"/>
              </w:rPr>
            </w:pPr>
            <w:r>
              <w:rPr>
                <w:w w:val="90"/>
                <w:sz w:val="22"/>
              </w:rPr>
              <w:t>CAO.A.045 (e)</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9"/>
              <w:jc w:val="both"/>
              <w:rPr>
                <w:sz w:val="22"/>
              </w:rPr>
            </w:pPr>
            <w:r>
              <w:rPr>
                <w:sz w:val="22"/>
              </w:rPr>
              <w:t>CAO, tüm uçuşa elverişlilik gözden geçirme personelinin bir kaydını tutacaktır; bu, uygun niteliklerin ayrıntılarını ve ilgili kişinin ilgili sürekli uçuşa</w:t>
            </w:r>
            <w:r>
              <w:rPr>
                <w:spacing w:val="-23"/>
                <w:sz w:val="22"/>
              </w:rPr>
              <w:t> </w:t>
            </w:r>
            <w:r>
              <w:rPr>
                <w:sz w:val="22"/>
              </w:rPr>
              <w:t>elverişlilik</w:t>
            </w:r>
            <w:r>
              <w:rPr>
                <w:spacing w:val="-23"/>
                <w:sz w:val="22"/>
              </w:rPr>
              <w:t> </w:t>
            </w:r>
            <w:r>
              <w:rPr>
                <w:sz w:val="22"/>
              </w:rPr>
              <w:t>deneyimi</w:t>
            </w:r>
            <w:r>
              <w:rPr>
                <w:spacing w:val="-24"/>
                <w:sz w:val="22"/>
              </w:rPr>
              <w:t> </w:t>
            </w:r>
            <w:r>
              <w:rPr>
                <w:sz w:val="22"/>
              </w:rPr>
              <w:t>ve</w:t>
            </w:r>
            <w:r>
              <w:rPr>
                <w:spacing w:val="-22"/>
                <w:sz w:val="22"/>
              </w:rPr>
              <w:t> </w:t>
            </w:r>
            <w:r>
              <w:rPr>
                <w:sz w:val="22"/>
              </w:rPr>
              <w:t>eğitiminin</w:t>
            </w:r>
            <w:r>
              <w:rPr>
                <w:spacing w:val="-22"/>
                <w:sz w:val="22"/>
              </w:rPr>
              <w:t> </w:t>
            </w:r>
            <w:r>
              <w:rPr>
                <w:sz w:val="22"/>
              </w:rPr>
              <w:t>bir</w:t>
            </w:r>
            <w:r>
              <w:rPr>
                <w:spacing w:val="-24"/>
                <w:sz w:val="22"/>
              </w:rPr>
              <w:t> </w:t>
            </w:r>
            <w:r>
              <w:rPr>
                <w:sz w:val="22"/>
              </w:rPr>
              <w:t>özetini</w:t>
            </w:r>
            <w:r>
              <w:rPr>
                <w:spacing w:val="-23"/>
                <w:sz w:val="22"/>
              </w:rPr>
              <w:t> </w:t>
            </w:r>
            <w:r>
              <w:rPr>
                <w:sz w:val="22"/>
              </w:rPr>
              <w:t>ve ayrıca yetkisinin bir kopyasını içerecektir. CAO bu kaydı,</w:t>
            </w:r>
            <w:r>
              <w:rPr>
                <w:spacing w:val="-30"/>
                <w:sz w:val="22"/>
              </w:rPr>
              <w:t> </w:t>
            </w:r>
            <w:r>
              <w:rPr>
                <w:sz w:val="22"/>
              </w:rPr>
              <w:t>ilgili</w:t>
            </w:r>
            <w:r>
              <w:rPr>
                <w:spacing w:val="-32"/>
                <w:sz w:val="22"/>
              </w:rPr>
              <w:t> </w:t>
            </w:r>
            <w:r>
              <w:rPr>
                <w:sz w:val="22"/>
              </w:rPr>
              <w:t>kişinin</w:t>
            </w:r>
            <w:r>
              <w:rPr>
                <w:spacing w:val="-33"/>
                <w:sz w:val="22"/>
              </w:rPr>
              <w:t> </w:t>
            </w:r>
            <w:r>
              <w:rPr>
                <w:sz w:val="22"/>
              </w:rPr>
              <w:t>CAO'dan</w:t>
            </w:r>
            <w:r>
              <w:rPr>
                <w:spacing w:val="-32"/>
                <w:sz w:val="22"/>
              </w:rPr>
              <w:t> </w:t>
            </w:r>
            <w:r>
              <w:rPr>
                <w:sz w:val="22"/>
              </w:rPr>
              <w:t>ayrıldığı</w:t>
            </w:r>
            <w:r>
              <w:rPr>
                <w:spacing w:val="-32"/>
                <w:sz w:val="22"/>
              </w:rPr>
              <w:t> </w:t>
            </w:r>
            <w:r>
              <w:rPr>
                <w:sz w:val="22"/>
              </w:rPr>
              <w:t>tarihten</w:t>
            </w:r>
            <w:r>
              <w:rPr>
                <w:spacing w:val="-33"/>
                <w:sz w:val="22"/>
              </w:rPr>
              <w:t> </w:t>
            </w:r>
            <w:r>
              <w:rPr>
                <w:sz w:val="22"/>
              </w:rPr>
              <w:t>sonra</w:t>
            </w:r>
            <w:r>
              <w:rPr>
                <w:spacing w:val="-32"/>
                <w:sz w:val="22"/>
              </w:rPr>
              <w:t> </w:t>
            </w:r>
            <w:r>
              <w:rPr>
                <w:sz w:val="22"/>
              </w:rPr>
              <w:t>en</w:t>
            </w:r>
          </w:p>
          <w:p>
            <w:pPr>
              <w:pStyle w:val="TableParagraph"/>
              <w:spacing w:line="248" w:lineRule="exact"/>
              <w:ind w:left="64"/>
              <w:jc w:val="both"/>
              <w:rPr>
                <w:sz w:val="22"/>
              </w:rPr>
            </w:pPr>
            <w:r>
              <w:rPr>
                <w:sz w:val="22"/>
              </w:rPr>
              <w:t>az 2 yıl süre ile saklar.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260" w:hRule="atLeast"/>
        </w:trPr>
        <w:tc>
          <w:tcPr>
            <w:tcW w:w="16018" w:type="dxa"/>
            <w:gridSpan w:val="10"/>
            <w:tcBorders>
              <w:top w:val="single" w:sz="4" w:space="0" w:color="3366FF"/>
              <w:left w:val="single" w:sz="4" w:space="0" w:color="3366FF"/>
              <w:bottom w:val="single" w:sz="4" w:space="0" w:color="3366FF"/>
              <w:right w:val="single" w:sz="4" w:space="0" w:color="3366FF"/>
            </w:tcBorders>
            <w:shd w:val="clear" w:color="auto" w:fill="FFC000"/>
          </w:tcPr>
          <w:p>
            <w:pPr>
              <w:pStyle w:val="TableParagraph"/>
              <w:spacing w:line="245" w:lineRule="exact" w:before="2"/>
              <w:ind w:left="64"/>
              <w:rPr>
                <w:sz w:val="22"/>
              </w:rPr>
            </w:pPr>
            <w:r>
              <w:rPr>
                <w:w w:val="95"/>
                <w:sz w:val="22"/>
              </w:rPr>
              <w:t>CAO.A.075 Sürekli uçuşa elverişlilik yönetimi</w:t>
            </w:r>
          </w:p>
        </w:tc>
      </w:tr>
      <w:tr>
        <w:trPr>
          <w:trHeight w:val="8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4"/>
              <w:rPr>
                <w:sz w:val="26"/>
              </w:rPr>
            </w:pPr>
          </w:p>
          <w:p>
            <w:pPr>
              <w:pStyle w:val="TableParagraph"/>
              <w:ind w:left="369" w:right="370"/>
              <w:jc w:val="center"/>
              <w:rPr>
                <w:sz w:val="22"/>
              </w:rPr>
            </w:pPr>
            <w:r>
              <w:rPr>
                <w:sz w:val="22"/>
              </w:rPr>
              <w:t>14</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4"/>
              <w:rPr>
                <w:sz w:val="26"/>
              </w:rPr>
            </w:pPr>
          </w:p>
          <w:p>
            <w:pPr>
              <w:pStyle w:val="TableParagraph"/>
              <w:ind w:left="64"/>
              <w:rPr>
                <w:sz w:val="22"/>
              </w:rPr>
            </w:pPr>
            <w:r>
              <w:rPr>
                <w:w w:val="90"/>
                <w:sz w:val="22"/>
              </w:rPr>
              <w:t>CAO.A.075 (a)</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34"/>
              <w:ind w:left="64" w:right="59"/>
              <w:jc w:val="both"/>
              <w:rPr>
                <w:sz w:val="22"/>
              </w:rPr>
            </w:pPr>
            <w:r>
              <w:rPr>
                <w:sz w:val="22"/>
              </w:rPr>
              <w:t>CAO, tüm uçuşa elverişlilik yönetimi faaliyetlerini uygun olduğu şekli ile Part-M veya Part-ML gerekliliklerine uygun şekilde gerçekleştirir.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14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4"/>
              <w:rPr>
                <w:sz w:val="27"/>
              </w:rPr>
            </w:pPr>
          </w:p>
          <w:p>
            <w:pPr>
              <w:pStyle w:val="TableParagraph"/>
              <w:ind w:left="369" w:right="369"/>
              <w:jc w:val="center"/>
              <w:rPr>
                <w:sz w:val="22"/>
              </w:rPr>
            </w:pPr>
            <w:r>
              <w:rPr>
                <w:w w:val="95"/>
                <w:sz w:val="22"/>
              </w:rPr>
              <w:t>AAD-1</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56"/>
              <w:ind w:left="64" w:right="59"/>
              <w:jc w:val="both"/>
              <w:rPr>
                <w:sz w:val="22"/>
              </w:rPr>
            </w:pPr>
            <w:r>
              <w:rPr>
                <w:w w:val="105"/>
                <w:sz w:val="22"/>
              </w:rPr>
              <w:t>If the CAO does not hold the appropriate maintenance privilege, then the CAO should conclude a contract with the appropriate maintenance organisation(s) in agreement with</w:t>
            </w:r>
            <w:r>
              <w:rPr>
                <w:spacing w:val="-22"/>
                <w:w w:val="105"/>
                <w:sz w:val="22"/>
              </w:rPr>
              <w:t> </w:t>
            </w:r>
            <w:r>
              <w:rPr>
                <w:w w:val="105"/>
                <w:sz w:val="22"/>
              </w:rPr>
              <w:t>the owner/operator.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spacing w:line="254" w:lineRule="auto" w:before="1"/>
              <w:ind w:left="69" w:right="64"/>
              <w:jc w:val="both"/>
              <w:rPr>
                <w:sz w:val="22"/>
              </w:rPr>
            </w:pPr>
            <w:r>
              <w:rPr>
                <w:color w:val="FFFFFF"/>
                <w:sz w:val="22"/>
              </w:rPr>
              <w:t>The contract between the CAO and the maintenance organisation(s) should specify in detail the responsibilities and the work to be performed by each party.</w:t>
            </w:r>
          </w:p>
        </w:tc>
      </w:tr>
      <w:tr>
        <w:trPr>
          <w:trHeight w:val="5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57"/>
              <w:ind w:left="369" w:right="370"/>
              <w:jc w:val="center"/>
              <w:rPr>
                <w:sz w:val="22"/>
              </w:rPr>
            </w:pPr>
            <w:r>
              <w:rPr>
                <w:sz w:val="22"/>
              </w:rPr>
              <w:t>15</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157"/>
              <w:ind w:left="64"/>
              <w:rPr>
                <w:sz w:val="22"/>
              </w:rPr>
            </w:pPr>
            <w:r>
              <w:rPr>
                <w:w w:val="90"/>
                <w:sz w:val="22"/>
              </w:rPr>
              <w:t>CAO.A.075 (b)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2" w:lineRule="auto" w:before="25"/>
              <w:ind w:left="64" w:right="59"/>
              <w:rPr>
                <w:sz w:val="22"/>
              </w:rPr>
            </w:pPr>
            <w:r>
              <w:rPr>
                <w:sz w:val="22"/>
              </w:rPr>
              <w:t>Yönetilen her bir hava aracı için CAO; AMP'yi geliştirir ve kontrol eder.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5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57"/>
              <w:ind w:left="369" w:right="369"/>
              <w:jc w:val="center"/>
              <w:rPr>
                <w:sz w:val="22"/>
              </w:rPr>
            </w:pPr>
            <w:r>
              <w:rPr>
                <w:w w:val="95"/>
                <w:sz w:val="22"/>
              </w:rPr>
              <w:t>AAD-1</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22"/>
              <w:ind w:left="64"/>
              <w:rPr>
                <w:sz w:val="22"/>
              </w:rPr>
            </w:pPr>
            <w:r>
              <w:rPr>
                <w:sz w:val="22"/>
              </w:rPr>
              <w:t>Part-ML kapsamına giren hava araçları için AMP'nin revizyonlarının onayını yapar,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bl>
    <w:p>
      <w:pPr>
        <w:spacing w:after="0"/>
        <w:rPr>
          <w:sz w:val="22"/>
        </w:rPr>
        <w:sectPr>
          <w:headerReference w:type="default" r:id="rId7"/>
          <w:pgSz w:w="16840" w:h="11910" w:orient="landscape"/>
          <w:pgMar w:header="991" w:footer="647" w:top="1720" w:bottom="840" w:left="160" w:right="4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4"/>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1060" w:hRule="atLeast"/>
        </w:trPr>
        <w:tc>
          <w:tcPr>
            <w:tcW w:w="1560" w:type="dxa"/>
            <w:tcBorders>
              <w:left w:val="single" w:sz="4" w:space="0" w:color="3366FF"/>
              <w:bottom w:val="single" w:sz="4" w:space="0" w:color="3366FF"/>
              <w:right w:val="single" w:sz="4" w:space="0" w:color="3366FF"/>
            </w:tcBorders>
          </w:tcPr>
          <w:p>
            <w:pPr>
              <w:pStyle w:val="TableParagraph"/>
              <w:spacing w:before="1"/>
              <w:rPr>
                <w:sz w:val="35"/>
              </w:rPr>
            </w:pPr>
          </w:p>
          <w:p>
            <w:pPr>
              <w:pStyle w:val="TableParagraph"/>
              <w:ind w:left="369" w:right="369"/>
              <w:jc w:val="center"/>
              <w:rPr>
                <w:sz w:val="22"/>
              </w:rPr>
            </w:pPr>
            <w:r>
              <w:rPr>
                <w:w w:val="95"/>
                <w:sz w:val="22"/>
              </w:rPr>
              <w:t>AAD-2</w:t>
            </w:r>
          </w:p>
        </w:tc>
        <w:tc>
          <w:tcPr>
            <w:tcW w:w="1843" w:type="dxa"/>
            <w:tcBorders>
              <w:left w:val="single" w:sz="4" w:space="0" w:color="3366FF"/>
              <w:bottom w:val="single" w:sz="4" w:space="0" w:color="3366FF"/>
              <w:right w:val="single" w:sz="4" w:space="0" w:color="3366FF"/>
            </w:tcBorders>
          </w:tcPr>
          <w:p>
            <w:pPr>
              <w:pStyle w:val="TableParagraph"/>
              <w:rPr>
                <w:sz w:val="22"/>
              </w:rPr>
            </w:pPr>
          </w:p>
        </w:tc>
        <w:tc>
          <w:tcPr>
            <w:tcW w:w="4800" w:type="dxa"/>
            <w:tcBorders>
              <w:left w:val="single" w:sz="4" w:space="0" w:color="3366FF"/>
              <w:bottom w:val="single" w:sz="4" w:space="0" w:color="3366FF"/>
              <w:right w:val="single" w:sz="4" w:space="0" w:color="3366FF"/>
            </w:tcBorders>
          </w:tcPr>
          <w:p>
            <w:pPr>
              <w:pStyle w:val="TableParagraph"/>
              <w:spacing w:line="254" w:lineRule="auto" w:before="1"/>
              <w:ind w:left="64" w:right="60"/>
              <w:jc w:val="both"/>
              <w:rPr>
                <w:sz w:val="22"/>
              </w:rPr>
            </w:pPr>
            <w:r>
              <w:rPr>
                <w:sz w:val="22"/>
              </w:rPr>
              <w:t>Part-M kapsamına giren hava araçları için AMP'nin revizyonlarını, M.A.302 (c) kapsamında dolaylı</w:t>
            </w:r>
            <w:r>
              <w:rPr>
                <w:spacing w:val="-41"/>
                <w:sz w:val="22"/>
              </w:rPr>
              <w:t> </w:t>
            </w:r>
            <w:r>
              <w:rPr>
                <w:sz w:val="22"/>
              </w:rPr>
              <w:t>onay yetkisi     olmadığında     onaylanması     için  </w:t>
            </w:r>
            <w:r>
              <w:rPr>
                <w:spacing w:val="6"/>
                <w:sz w:val="22"/>
              </w:rPr>
              <w:t> </w:t>
            </w:r>
            <w:r>
              <w:rPr>
                <w:sz w:val="22"/>
              </w:rPr>
              <w:t>Genel</w:t>
            </w:r>
          </w:p>
          <w:p>
            <w:pPr>
              <w:pStyle w:val="TableParagraph"/>
              <w:spacing w:line="246" w:lineRule="exact"/>
              <w:ind w:left="64"/>
              <w:jc w:val="both"/>
              <w:rPr>
                <w:sz w:val="22"/>
              </w:rPr>
            </w:pPr>
            <w:r>
              <w:rPr>
                <w:sz w:val="22"/>
              </w:rPr>
              <w:t>Müdürlüğe sunar.</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r>
        <w:trPr>
          <w:trHeight w:val="2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3"/>
              <w:ind w:left="369" w:right="369"/>
              <w:jc w:val="center"/>
              <w:rPr>
                <w:sz w:val="22"/>
              </w:rPr>
            </w:pPr>
            <w:r>
              <w:rPr>
                <w:w w:val="95"/>
                <w:sz w:val="22"/>
              </w:rPr>
              <w:t>AAD-3</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before="13"/>
              <w:ind w:left="65"/>
              <w:rPr>
                <w:sz w:val="22"/>
              </w:rPr>
            </w:pPr>
            <w:r>
              <w:rPr>
                <w:sz w:val="22"/>
              </w:rPr>
              <w:t>AMP'nin bir kopyasını hava aracı sahibine verir,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970" w:type="dxa"/>
            <w:tcBorders>
              <w:top w:val="nil"/>
              <w:left w:val="nil"/>
              <w:bottom w:val="nil"/>
              <w:right w:val="nil"/>
            </w:tcBorders>
            <w:shd w:val="clear" w:color="auto" w:fill="3366FF"/>
          </w:tcPr>
          <w:p>
            <w:pPr>
              <w:pStyle w:val="TableParagraph"/>
              <w:rPr>
                <w:sz w:val="20"/>
              </w:rPr>
            </w:pPr>
          </w:p>
        </w:tc>
      </w:tr>
      <w:tr>
        <w:trPr>
          <w:trHeight w:val="260" w:hRule="atLeast"/>
        </w:trPr>
        <w:tc>
          <w:tcPr>
            <w:tcW w:w="1560" w:type="dxa"/>
            <w:tcBorders>
              <w:top w:val="single" w:sz="4" w:space="0" w:color="3366FF"/>
              <w:left w:val="single" w:sz="4" w:space="0" w:color="3366FF"/>
              <w:bottom w:val="nil"/>
              <w:right w:val="single" w:sz="4" w:space="0" w:color="3366FF"/>
            </w:tcBorders>
          </w:tcPr>
          <w:p>
            <w:pPr>
              <w:pStyle w:val="TableParagraph"/>
              <w:rPr>
                <w:sz w:val="18"/>
              </w:rPr>
            </w:pPr>
          </w:p>
        </w:tc>
        <w:tc>
          <w:tcPr>
            <w:tcW w:w="1843" w:type="dxa"/>
            <w:vMerge w:val="restart"/>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nil"/>
              <w:right w:val="single" w:sz="4" w:space="0" w:color="3366FF"/>
            </w:tcBorders>
          </w:tcPr>
          <w:p>
            <w:pPr>
              <w:pStyle w:val="TableParagraph"/>
              <w:rPr>
                <w:sz w:val="18"/>
              </w:rPr>
            </w:pPr>
          </w:p>
        </w:tc>
        <w:tc>
          <w:tcPr>
            <w:tcW w:w="497" w:type="dxa"/>
            <w:vMerge w:val="restart"/>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vMerge w:val="restart"/>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vMerge w:val="restart"/>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vMerge w:val="restart"/>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vMerge w:val="restart"/>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vMerge w:val="restart"/>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tabs>
                <w:tab w:pos="498" w:val="left" w:leader="none"/>
                <w:tab w:pos="1408" w:val="left" w:leader="none"/>
                <w:tab w:pos="2730" w:val="left" w:leader="none"/>
                <w:tab w:pos="3357" w:val="left" w:leader="none"/>
                <w:tab w:pos="4521" w:val="left" w:leader="none"/>
              </w:tabs>
              <w:spacing w:line="239" w:lineRule="exact" w:before="3"/>
              <w:ind w:left="69"/>
              <w:rPr>
                <w:sz w:val="22"/>
              </w:rPr>
            </w:pPr>
            <w:r>
              <w:rPr>
                <w:color w:val="FFFFFF"/>
                <w:sz w:val="22"/>
              </w:rPr>
              <w:t>a.)</w:t>
              <w:tab/>
              <w:t>Tasarım</w:t>
              <w:tab/>
              <w:t>kuruluşunun</w:t>
              <w:tab/>
              <w:t>bağlı</w:t>
              <w:tab/>
              <w:t>bulunduğu</w:t>
              <w:tab/>
              <w:t>ülke</w:t>
            </w:r>
          </w:p>
        </w:tc>
      </w:tr>
      <w:tr>
        <w:trPr>
          <w:trHeight w:val="240" w:hRule="atLeast"/>
        </w:trPr>
        <w:tc>
          <w:tcPr>
            <w:tcW w:w="1560" w:type="dxa"/>
            <w:tcBorders>
              <w:top w:val="nil"/>
              <w:left w:val="single" w:sz="4" w:space="0" w:color="3366FF"/>
              <w:bottom w:val="nil"/>
              <w:right w:val="single" w:sz="4" w:space="0" w:color="3366FF"/>
            </w:tcBorders>
          </w:tcPr>
          <w:p>
            <w:pPr>
              <w:pStyle w:val="TableParagraph"/>
              <w:rPr>
                <w:sz w:val="18"/>
              </w:rPr>
            </w:pPr>
          </w:p>
        </w:tc>
        <w:tc>
          <w:tcPr>
            <w:tcW w:w="1843" w:type="dxa"/>
            <w:vMerge/>
            <w:tcBorders>
              <w:top w:val="nil"/>
              <w:left w:val="single" w:sz="4" w:space="0" w:color="3366FF"/>
              <w:bottom w:val="single" w:sz="4" w:space="0" w:color="3366FF"/>
              <w:right w:val="single" w:sz="4" w:space="0" w:color="3366FF"/>
            </w:tcBorders>
          </w:tcPr>
          <w:p>
            <w:pPr>
              <w:rPr>
                <w:sz w:val="2"/>
                <w:szCs w:val="2"/>
              </w:rPr>
            </w:pPr>
          </w:p>
        </w:tc>
        <w:tc>
          <w:tcPr>
            <w:tcW w:w="4800" w:type="dxa"/>
            <w:tcBorders>
              <w:top w:val="nil"/>
              <w:left w:val="single" w:sz="4" w:space="0" w:color="3366FF"/>
              <w:bottom w:val="nil"/>
              <w:right w:val="single" w:sz="4" w:space="0" w:color="3366FF"/>
            </w:tcBorders>
          </w:tcPr>
          <w:p>
            <w:pPr>
              <w:pStyle w:val="TableParagraph"/>
              <w:rPr>
                <w:sz w:val="18"/>
              </w:rPr>
            </w:pP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spacing w:line="238" w:lineRule="exact"/>
              <w:ind w:left="69"/>
              <w:rPr>
                <w:sz w:val="22"/>
              </w:rPr>
            </w:pPr>
            <w:r>
              <w:rPr>
                <w:color w:val="FFFFFF"/>
                <w:sz w:val="22"/>
              </w:rPr>
              <w:t>otoritesi,   EASA   veya   Genel   Müdürlük tarafından</w:t>
            </w:r>
          </w:p>
        </w:tc>
      </w:tr>
      <w:tr>
        <w:trPr>
          <w:trHeight w:val="240" w:hRule="atLeast"/>
        </w:trPr>
        <w:tc>
          <w:tcPr>
            <w:tcW w:w="1560" w:type="dxa"/>
            <w:tcBorders>
              <w:top w:val="nil"/>
              <w:left w:val="single" w:sz="4" w:space="0" w:color="3366FF"/>
              <w:bottom w:val="nil"/>
              <w:right w:val="single" w:sz="4" w:space="0" w:color="3366FF"/>
            </w:tcBorders>
          </w:tcPr>
          <w:p>
            <w:pPr>
              <w:pStyle w:val="TableParagraph"/>
              <w:rPr>
                <w:sz w:val="18"/>
              </w:rPr>
            </w:pPr>
          </w:p>
        </w:tc>
        <w:tc>
          <w:tcPr>
            <w:tcW w:w="1843" w:type="dxa"/>
            <w:vMerge/>
            <w:tcBorders>
              <w:top w:val="nil"/>
              <w:left w:val="single" w:sz="4" w:space="0" w:color="3366FF"/>
              <w:bottom w:val="single" w:sz="4" w:space="0" w:color="3366FF"/>
              <w:right w:val="single" w:sz="4" w:space="0" w:color="3366FF"/>
            </w:tcBorders>
          </w:tcPr>
          <w:p>
            <w:pPr>
              <w:rPr>
                <w:sz w:val="2"/>
                <w:szCs w:val="2"/>
              </w:rPr>
            </w:pPr>
          </w:p>
        </w:tc>
        <w:tc>
          <w:tcPr>
            <w:tcW w:w="4800" w:type="dxa"/>
            <w:tcBorders>
              <w:top w:val="nil"/>
              <w:left w:val="single" w:sz="4" w:space="0" w:color="3366FF"/>
              <w:bottom w:val="nil"/>
              <w:right w:val="single" w:sz="4" w:space="0" w:color="3366FF"/>
            </w:tcBorders>
          </w:tcPr>
          <w:p>
            <w:pPr>
              <w:pStyle w:val="TableParagraph"/>
              <w:rPr>
                <w:sz w:val="18"/>
              </w:rPr>
            </w:pP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tabs>
                <w:tab w:pos="4271" w:val="left" w:leader="none"/>
              </w:tabs>
              <w:spacing w:line="239" w:lineRule="exact"/>
              <w:ind w:left="69"/>
              <w:rPr>
                <w:sz w:val="22"/>
              </w:rPr>
            </w:pPr>
            <w:r>
              <w:rPr>
                <w:color w:val="FFFFFF"/>
                <w:sz w:val="22"/>
              </w:rPr>
              <w:t>onaylanmış</w:t>
              <w:tab/>
              <w:t>veriler,</w:t>
            </w:r>
          </w:p>
        </w:tc>
      </w:tr>
      <w:tr>
        <w:trPr>
          <w:trHeight w:val="240" w:hRule="atLeast"/>
        </w:trPr>
        <w:tc>
          <w:tcPr>
            <w:tcW w:w="1560" w:type="dxa"/>
            <w:tcBorders>
              <w:top w:val="nil"/>
              <w:left w:val="single" w:sz="4" w:space="0" w:color="3366FF"/>
              <w:bottom w:val="nil"/>
              <w:right w:val="single" w:sz="4" w:space="0" w:color="3366FF"/>
            </w:tcBorders>
          </w:tcPr>
          <w:p>
            <w:pPr>
              <w:pStyle w:val="TableParagraph"/>
              <w:rPr>
                <w:sz w:val="16"/>
              </w:rPr>
            </w:pPr>
          </w:p>
        </w:tc>
        <w:tc>
          <w:tcPr>
            <w:tcW w:w="1843" w:type="dxa"/>
            <w:vMerge/>
            <w:tcBorders>
              <w:top w:val="nil"/>
              <w:left w:val="single" w:sz="4" w:space="0" w:color="3366FF"/>
              <w:bottom w:val="single" w:sz="4" w:space="0" w:color="3366FF"/>
              <w:right w:val="single" w:sz="4" w:space="0" w:color="3366FF"/>
            </w:tcBorders>
          </w:tcPr>
          <w:p>
            <w:pPr>
              <w:rPr>
                <w:sz w:val="2"/>
                <w:szCs w:val="2"/>
              </w:rPr>
            </w:pPr>
          </w:p>
        </w:tc>
        <w:tc>
          <w:tcPr>
            <w:tcW w:w="4800" w:type="dxa"/>
            <w:tcBorders>
              <w:top w:val="nil"/>
              <w:left w:val="single" w:sz="4" w:space="0" w:color="3366FF"/>
              <w:bottom w:val="nil"/>
              <w:right w:val="single" w:sz="4" w:space="0" w:color="3366FF"/>
            </w:tcBorders>
          </w:tcPr>
          <w:p>
            <w:pPr>
              <w:pStyle w:val="TableParagraph"/>
              <w:rPr>
                <w:sz w:val="16"/>
              </w:rPr>
            </w:pP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tabs>
                <w:tab w:pos="507" w:val="left" w:leader="none"/>
                <w:tab w:pos="1416" w:val="left" w:leader="none"/>
                <w:tab w:pos="2738" w:val="left" w:leader="none"/>
                <w:tab w:pos="3365" w:val="left" w:leader="none"/>
                <w:tab w:pos="4526" w:val="left" w:leader="none"/>
              </w:tabs>
              <w:spacing w:line="226" w:lineRule="exact"/>
              <w:ind w:left="69"/>
              <w:rPr>
                <w:sz w:val="22"/>
              </w:rPr>
            </w:pPr>
            <w:r>
              <w:rPr>
                <w:color w:val="FFFFFF"/>
                <w:sz w:val="22"/>
              </w:rPr>
              <w:t>b.)</w:t>
              <w:tab/>
              <w:t>Tasarım</w:t>
              <w:tab/>
              <w:t>kuruluşunun</w:t>
              <w:tab/>
              <w:t>bağlı</w:t>
              <w:tab/>
              <w:t>bulunduğu</w:t>
              <w:tab/>
              <w:t>ülke</w:t>
            </w:r>
          </w:p>
        </w:tc>
      </w:tr>
      <w:tr>
        <w:trPr>
          <w:trHeight w:val="240" w:hRule="atLeast"/>
        </w:trPr>
        <w:tc>
          <w:tcPr>
            <w:tcW w:w="1560" w:type="dxa"/>
            <w:tcBorders>
              <w:top w:val="nil"/>
              <w:left w:val="single" w:sz="4" w:space="0" w:color="3366FF"/>
              <w:bottom w:val="nil"/>
              <w:right w:val="single" w:sz="4" w:space="0" w:color="3366FF"/>
            </w:tcBorders>
          </w:tcPr>
          <w:p>
            <w:pPr>
              <w:pStyle w:val="TableParagraph"/>
              <w:rPr>
                <w:sz w:val="18"/>
              </w:rPr>
            </w:pPr>
          </w:p>
        </w:tc>
        <w:tc>
          <w:tcPr>
            <w:tcW w:w="1843" w:type="dxa"/>
            <w:vMerge/>
            <w:tcBorders>
              <w:top w:val="nil"/>
              <w:left w:val="single" w:sz="4" w:space="0" w:color="3366FF"/>
              <w:bottom w:val="single" w:sz="4" w:space="0" w:color="3366FF"/>
              <w:right w:val="single" w:sz="4" w:space="0" w:color="3366FF"/>
            </w:tcBorders>
          </w:tcPr>
          <w:p>
            <w:pPr>
              <w:rPr>
                <w:sz w:val="2"/>
                <w:szCs w:val="2"/>
              </w:rPr>
            </w:pPr>
          </w:p>
        </w:tc>
        <w:tc>
          <w:tcPr>
            <w:tcW w:w="4800" w:type="dxa"/>
            <w:tcBorders>
              <w:top w:val="nil"/>
              <w:left w:val="single" w:sz="4" w:space="0" w:color="3366FF"/>
              <w:bottom w:val="nil"/>
              <w:right w:val="single" w:sz="4" w:space="0" w:color="3366FF"/>
            </w:tcBorders>
          </w:tcPr>
          <w:p>
            <w:pPr>
              <w:pStyle w:val="TableParagraph"/>
              <w:spacing w:line="238" w:lineRule="exact"/>
              <w:ind w:left="64"/>
              <w:rPr>
                <w:sz w:val="22"/>
              </w:rPr>
            </w:pPr>
            <w:r>
              <w:rPr>
                <w:sz w:val="22"/>
              </w:rPr>
              <w:t>Tamir   ve   modifikasyonlar   için   kullanılan bakım</w:t>
            </w: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tabs>
                <w:tab w:pos="1383" w:val="left" w:leader="none"/>
                <w:tab w:pos="2400" w:val="left" w:leader="none"/>
                <w:tab w:pos="3040" w:val="left" w:leader="none"/>
                <w:tab w:pos="3788" w:val="left" w:leader="none"/>
              </w:tabs>
              <w:spacing w:line="227" w:lineRule="exact" w:before="11"/>
              <w:ind w:left="69"/>
              <w:rPr>
                <w:sz w:val="22"/>
              </w:rPr>
            </w:pPr>
            <w:r>
              <w:rPr>
                <w:color w:val="FFFFFF"/>
                <w:sz w:val="22"/>
              </w:rPr>
              <w:t>otoritesinin,</w:t>
              <w:tab/>
            </w:r>
            <w:r>
              <w:rPr>
                <w:color w:val="FFFFFF"/>
                <w:w w:val="95"/>
                <w:sz w:val="22"/>
              </w:rPr>
              <w:t>EASA'nın</w:t>
              <w:tab/>
            </w:r>
            <w:r>
              <w:rPr>
                <w:color w:val="FFFFFF"/>
                <w:sz w:val="22"/>
              </w:rPr>
              <w:t>veya</w:t>
              <w:tab/>
              <w:t>Genel</w:t>
              <w:tab/>
              <w:t>Müdürlüğün</w:t>
            </w:r>
          </w:p>
        </w:tc>
      </w:tr>
      <w:tr>
        <w:trPr>
          <w:trHeight w:val="240" w:hRule="atLeast"/>
        </w:trPr>
        <w:tc>
          <w:tcPr>
            <w:tcW w:w="1560" w:type="dxa"/>
            <w:tcBorders>
              <w:top w:val="nil"/>
              <w:left w:val="single" w:sz="4" w:space="0" w:color="3366FF"/>
              <w:bottom w:val="nil"/>
              <w:right w:val="single" w:sz="4" w:space="0" w:color="3366FF"/>
            </w:tcBorders>
          </w:tcPr>
          <w:p>
            <w:pPr>
              <w:pStyle w:val="TableParagraph"/>
              <w:spacing w:line="238" w:lineRule="exact"/>
              <w:ind w:left="369" w:right="369"/>
              <w:jc w:val="center"/>
              <w:rPr>
                <w:sz w:val="22"/>
              </w:rPr>
            </w:pPr>
            <w:r>
              <w:rPr>
                <w:w w:val="95"/>
                <w:sz w:val="22"/>
              </w:rPr>
              <w:t>AAD-4</w:t>
            </w:r>
          </w:p>
        </w:tc>
        <w:tc>
          <w:tcPr>
            <w:tcW w:w="1843" w:type="dxa"/>
            <w:vMerge/>
            <w:tcBorders>
              <w:top w:val="nil"/>
              <w:left w:val="single" w:sz="4" w:space="0" w:color="3366FF"/>
              <w:bottom w:val="single" w:sz="4" w:space="0" w:color="3366FF"/>
              <w:right w:val="single" w:sz="4" w:space="0" w:color="3366FF"/>
            </w:tcBorders>
          </w:tcPr>
          <w:p>
            <w:pPr>
              <w:rPr>
                <w:sz w:val="2"/>
                <w:szCs w:val="2"/>
              </w:rPr>
            </w:pPr>
          </w:p>
        </w:tc>
        <w:tc>
          <w:tcPr>
            <w:tcW w:w="4800" w:type="dxa"/>
            <w:tcBorders>
              <w:top w:val="nil"/>
              <w:left w:val="single" w:sz="4" w:space="0" w:color="3366FF"/>
              <w:bottom w:val="nil"/>
              <w:right w:val="single" w:sz="4" w:space="0" w:color="3366FF"/>
            </w:tcBorders>
          </w:tcPr>
          <w:p>
            <w:pPr>
              <w:pStyle w:val="TableParagraph"/>
              <w:spacing w:line="238" w:lineRule="exact"/>
              <w:ind w:left="64"/>
              <w:rPr>
                <w:sz w:val="22"/>
              </w:rPr>
            </w:pPr>
            <w:r>
              <w:rPr>
                <w:sz w:val="22"/>
              </w:rPr>
              <w:t>verilerinin M.A.304 veya ML.A.304 gerekliliklerine</w:t>
            </w: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spacing w:line="227" w:lineRule="exact" w:before="11"/>
              <w:ind w:left="69"/>
              <w:rPr>
                <w:sz w:val="22"/>
              </w:rPr>
            </w:pPr>
            <w:r>
              <w:rPr>
                <w:color w:val="FFFFFF"/>
                <w:sz w:val="22"/>
              </w:rPr>
              <w:t>yetkilendirdiği  tasarım   kuruluşu  tarafından  SHT-21</w:t>
            </w:r>
          </w:p>
        </w:tc>
      </w:tr>
      <w:tr>
        <w:trPr>
          <w:trHeight w:val="1280" w:hRule="atLeast"/>
        </w:trPr>
        <w:tc>
          <w:tcPr>
            <w:tcW w:w="1560" w:type="dxa"/>
            <w:tcBorders>
              <w:top w:val="nil"/>
              <w:left w:val="single" w:sz="4" w:space="0" w:color="3366FF"/>
              <w:bottom w:val="single" w:sz="4" w:space="0" w:color="3366FF"/>
              <w:right w:val="single" w:sz="4" w:space="0" w:color="3366FF"/>
            </w:tcBorders>
          </w:tcPr>
          <w:p>
            <w:pPr>
              <w:pStyle w:val="TableParagraph"/>
              <w:rPr>
                <w:sz w:val="22"/>
              </w:rPr>
            </w:pPr>
          </w:p>
        </w:tc>
        <w:tc>
          <w:tcPr>
            <w:tcW w:w="1843" w:type="dxa"/>
            <w:vMerge/>
            <w:tcBorders>
              <w:top w:val="nil"/>
              <w:left w:val="single" w:sz="4" w:space="0" w:color="3366FF"/>
              <w:bottom w:val="single" w:sz="4" w:space="0" w:color="3366FF"/>
              <w:right w:val="single" w:sz="4" w:space="0" w:color="3366FF"/>
            </w:tcBorders>
          </w:tcPr>
          <w:p>
            <w:pPr>
              <w:rPr>
                <w:sz w:val="2"/>
                <w:szCs w:val="2"/>
              </w:rPr>
            </w:pPr>
          </w:p>
        </w:tc>
        <w:tc>
          <w:tcPr>
            <w:tcW w:w="4800" w:type="dxa"/>
            <w:tcBorders>
              <w:top w:val="nil"/>
              <w:left w:val="single" w:sz="4" w:space="0" w:color="3366FF"/>
              <w:bottom w:val="single" w:sz="4" w:space="0" w:color="3366FF"/>
              <w:right w:val="single" w:sz="4" w:space="0" w:color="3366FF"/>
            </w:tcBorders>
          </w:tcPr>
          <w:p>
            <w:pPr>
              <w:pStyle w:val="TableParagraph"/>
              <w:spacing w:line="238" w:lineRule="exact"/>
              <w:ind w:left="64"/>
              <w:rPr>
                <w:sz w:val="22"/>
              </w:rPr>
            </w:pPr>
            <w:r>
              <w:rPr>
                <w:sz w:val="22"/>
              </w:rPr>
              <w:t>uygun olmasını sağlar,</w:t>
            </w: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spacing w:before="11"/>
              <w:ind w:left="69"/>
              <w:rPr>
                <w:sz w:val="22"/>
              </w:rPr>
            </w:pPr>
            <w:r>
              <w:rPr>
                <w:color w:val="FFFFFF"/>
                <w:sz w:val="22"/>
              </w:rPr>
              <w:t>(veya EASA Part-21) 'e göre onayladığı veriler,</w:t>
            </w:r>
          </w:p>
        </w:tc>
      </w:tr>
    </w:tbl>
    <w:p>
      <w:pPr>
        <w:spacing w:after="0"/>
        <w:rPr>
          <w:sz w:val="22"/>
        </w:rPr>
        <w:sectPr>
          <w:headerReference w:type="default" r:id="rId8"/>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spacing w:before="9" w:after="1"/>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520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5"/>
              <w:rPr>
                <w:sz w:val="23"/>
              </w:rPr>
            </w:pPr>
          </w:p>
          <w:p>
            <w:pPr>
              <w:pStyle w:val="TableParagraph"/>
              <w:ind w:left="369" w:right="369"/>
              <w:jc w:val="center"/>
              <w:rPr>
                <w:sz w:val="22"/>
              </w:rPr>
            </w:pPr>
            <w:r>
              <w:rPr>
                <w:w w:val="95"/>
                <w:sz w:val="22"/>
              </w:rPr>
              <w:t>AAD-5</w:t>
            </w:r>
          </w:p>
        </w:tc>
        <w:tc>
          <w:tcPr>
            <w:tcW w:w="1843" w:type="dxa"/>
            <w:tcBorders>
              <w:left w:val="single" w:sz="4" w:space="0" w:color="3366FF"/>
              <w:bottom w:val="single" w:sz="4" w:space="0" w:color="3366FF"/>
              <w:right w:val="single" w:sz="4" w:space="0" w:color="3366FF"/>
            </w:tcBorders>
          </w:tcPr>
          <w:p>
            <w:pPr>
              <w:pStyle w:val="TableParagraph"/>
              <w:rPr>
                <w:sz w:val="22"/>
              </w:rPr>
            </w:pPr>
          </w:p>
        </w:tc>
        <w:tc>
          <w:tcPr>
            <w:tcW w:w="4800" w:type="dxa"/>
            <w:tcBorders>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line="254" w:lineRule="auto" w:before="142"/>
              <w:ind w:left="64" w:right="59"/>
              <w:jc w:val="both"/>
              <w:rPr>
                <w:sz w:val="22"/>
              </w:rPr>
            </w:pPr>
            <w:r>
              <w:rPr>
                <w:sz w:val="22"/>
              </w:rPr>
              <w:t>AMP'ye göre tüm bakım işlemlerinin gerçekleştirilmesi ve Part-M, SHT-145 veya Part- ML'den uygun olanına göre bakım çıkışı yapılmasını sağlar.</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tabs>
                <w:tab w:pos="4735" w:val="left" w:leader="none"/>
              </w:tabs>
              <w:spacing w:line="254" w:lineRule="auto" w:before="1"/>
              <w:ind w:left="69" w:right="65"/>
              <w:jc w:val="both"/>
              <w:rPr>
                <w:sz w:val="22"/>
              </w:rPr>
            </w:pPr>
            <w:r>
              <w:rPr>
                <w:color w:val="FFFFFF"/>
                <w:sz w:val="22"/>
              </w:rPr>
              <w:t>(a.2)</w:t>
            </w:r>
            <w:r>
              <w:rPr>
                <w:color w:val="FFFFFF"/>
                <w:spacing w:val="-27"/>
                <w:sz w:val="22"/>
              </w:rPr>
              <w:t> </w:t>
            </w:r>
            <w:r>
              <w:rPr>
                <w:color w:val="FFFFFF"/>
                <w:sz w:val="22"/>
              </w:rPr>
              <w:t>EASA</w:t>
            </w:r>
            <w:r>
              <w:rPr>
                <w:color w:val="FFFFFF"/>
                <w:spacing w:val="-29"/>
                <w:sz w:val="22"/>
              </w:rPr>
              <w:t> </w:t>
            </w:r>
            <w:r>
              <w:rPr>
                <w:color w:val="FFFFFF"/>
                <w:sz w:val="22"/>
              </w:rPr>
              <w:t>onaylı</w:t>
            </w:r>
            <w:r>
              <w:rPr>
                <w:color w:val="FFFFFF"/>
                <w:spacing w:val="-28"/>
                <w:sz w:val="22"/>
              </w:rPr>
              <w:t> </w:t>
            </w:r>
            <w:r>
              <w:rPr>
                <w:color w:val="FFFFFF"/>
                <w:sz w:val="22"/>
              </w:rPr>
              <w:t>kuruluş</w:t>
            </w:r>
            <w:r>
              <w:rPr>
                <w:color w:val="FFFFFF"/>
                <w:spacing w:val="-28"/>
                <w:sz w:val="22"/>
              </w:rPr>
              <w:t> </w:t>
            </w:r>
            <w:r>
              <w:rPr>
                <w:color w:val="FFFFFF"/>
                <w:sz w:val="22"/>
              </w:rPr>
              <w:t>tarafından</w:t>
            </w:r>
            <w:r>
              <w:rPr>
                <w:color w:val="FFFFFF"/>
                <w:spacing w:val="-28"/>
                <w:sz w:val="22"/>
              </w:rPr>
              <w:t> </w:t>
            </w:r>
            <w:r>
              <w:rPr>
                <w:color w:val="FFFFFF"/>
                <w:sz w:val="22"/>
              </w:rPr>
              <w:t>düzenlenen</w:t>
            </w:r>
            <w:r>
              <w:rPr>
                <w:color w:val="FFFFFF"/>
                <w:spacing w:val="-28"/>
                <w:sz w:val="22"/>
              </w:rPr>
              <w:t> </w:t>
            </w:r>
            <w:r>
              <w:rPr>
                <w:color w:val="FFFFFF"/>
                <w:sz w:val="22"/>
              </w:rPr>
              <w:t>EASA Form</w:t>
              <w:tab/>
              <w:t>1,</w:t>
            </w:r>
          </w:p>
          <w:p>
            <w:pPr>
              <w:pStyle w:val="TableParagraph"/>
              <w:tabs>
                <w:tab w:pos="4219" w:val="left" w:leader="none"/>
              </w:tabs>
              <w:spacing w:line="254" w:lineRule="auto" w:before="1"/>
              <w:ind w:left="69" w:right="68"/>
              <w:jc w:val="both"/>
              <w:rPr>
                <w:sz w:val="22"/>
              </w:rPr>
            </w:pPr>
            <w:r>
              <w:rPr>
                <w:color w:val="FFFFFF"/>
                <w:sz w:val="22"/>
              </w:rPr>
              <w:t>(a.3)</w:t>
            </w:r>
            <w:r>
              <w:rPr>
                <w:color w:val="FFFFFF"/>
                <w:spacing w:val="-11"/>
                <w:sz w:val="22"/>
              </w:rPr>
              <w:t> </w:t>
            </w:r>
            <w:r>
              <w:rPr>
                <w:color w:val="FFFFFF"/>
                <w:sz w:val="22"/>
              </w:rPr>
              <w:t>FAA</w:t>
            </w:r>
            <w:r>
              <w:rPr>
                <w:color w:val="FFFFFF"/>
                <w:spacing w:val="-13"/>
                <w:sz w:val="22"/>
              </w:rPr>
              <w:t> </w:t>
            </w:r>
            <w:r>
              <w:rPr>
                <w:color w:val="FFFFFF"/>
                <w:sz w:val="22"/>
              </w:rPr>
              <w:t>(ABD)</w:t>
            </w:r>
            <w:r>
              <w:rPr>
                <w:color w:val="FFFFFF"/>
                <w:spacing w:val="-11"/>
                <w:sz w:val="22"/>
              </w:rPr>
              <w:t> </w:t>
            </w:r>
            <w:r>
              <w:rPr>
                <w:color w:val="FFFFFF"/>
                <w:sz w:val="22"/>
              </w:rPr>
              <w:t>onaylı</w:t>
            </w:r>
            <w:r>
              <w:rPr>
                <w:color w:val="FFFFFF"/>
                <w:spacing w:val="-13"/>
                <w:sz w:val="22"/>
              </w:rPr>
              <w:t> </w:t>
            </w:r>
            <w:r>
              <w:rPr>
                <w:color w:val="FFFFFF"/>
                <w:sz w:val="22"/>
              </w:rPr>
              <w:t>kuruluş</w:t>
            </w:r>
            <w:r>
              <w:rPr>
                <w:color w:val="FFFFFF"/>
                <w:spacing w:val="-12"/>
                <w:sz w:val="22"/>
              </w:rPr>
              <w:t> </w:t>
            </w:r>
            <w:r>
              <w:rPr>
                <w:color w:val="FFFFFF"/>
                <w:sz w:val="22"/>
              </w:rPr>
              <w:t>tarafından</w:t>
            </w:r>
            <w:r>
              <w:rPr>
                <w:color w:val="FFFFFF"/>
                <w:spacing w:val="-13"/>
                <w:sz w:val="22"/>
              </w:rPr>
              <w:t> </w:t>
            </w:r>
            <w:r>
              <w:rPr>
                <w:color w:val="FFFFFF"/>
                <w:sz w:val="22"/>
              </w:rPr>
              <w:t>düzenlenen </w:t>
            </w:r>
            <w:r>
              <w:rPr>
                <w:color w:val="FFFFFF"/>
                <w:w w:val="95"/>
                <w:sz w:val="22"/>
              </w:rPr>
              <w:t>FAA</w:t>
              <w:tab/>
            </w:r>
            <w:r>
              <w:rPr>
                <w:color w:val="FFFFFF"/>
                <w:sz w:val="22"/>
              </w:rPr>
              <w:t>8130-3,</w:t>
            </w:r>
          </w:p>
          <w:p>
            <w:pPr>
              <w:pStyle w:val="TableParagraph"/>
              <w:tabs>
                <w:tab w:pos="1921" w:val="left" w:leader="none"/>
                <w:tab w:pos="3199" w:val="left" w:leader="none"/>
                <w:tab w:pos="4474" w:val="left" w:leader="none"/>
              </w:tabs>
              <w:spacing w:line="254" w:lineRule="auto" w:before="1"/>
              <w:ind w:left="69" w:right="64"/>
              <w:jc w:val="both"/>
              <w:rPr>
                <w:sz w:val="22"/>
              </w:rPr>
            </w:pPr>
            <w:r>
              <w:rPr>
                <w:color w:val="FFFFFF"/>
                <w:sz w:val="22"/>
              </w:rPr>
              <w:t>(a.4) TCCA (Kanada) onaylı kuruluş tarafından düzenlenen</w:t>
              <w:tab/>
            </w:r>
            <w:r>
              <w:rPr>
                <w:color w:val="FFFFFF"/>
                <w:w w:val="90"/>
                <w:sz w:val="22"/>
              </w:rPr>
              <w:t>TCCA</w:t>
              <w:tab/>
            </w:r>
            <w:r>
              <w:rPr>
                <w:color w:val="FFFFFF"/>
                <w:sz w:val="22"/>
              </w:rPr>
              <w:t>Form</w:t>
              <w:tab/>
              <w:t>One, (a.5) ANAC (Brezilya) onaylı kuruluş tarafından düzenlenen    ANAC     Form     SEGVOO     003, (a.6)</w:t>
            </w:r>
            <w:r>
              <w:rPr>
                <w:color w:val="FFFFFF"/>
                <w:spacing w:val="-36"/>
                <w:sz w:val="22"/>
              </w:rPr>
              <w:t> </w:t>
            </w:r>
            <w:r>
              <w:rPr>
                <w:color w:val="FFFFFF"/>
                <w:sz w:val="22"/>
              </w:rPr>
              <w:t>(</w:t>
            </w:r>
            <w:r>
              <w:rPr>
                <w:color w:val="FFFFFF"/>
                <w:spacing w:val="-36"/>
                <w:sz w:val="22"/>
              </w:rPr>
              <w:t> </w:t>
            </w:r>
            <w:r>
              <w:rPr>
                <w:color w:val="FFFFFF"/>
                <w:sz w:val="22"/>
              </w:rPr>
              <w:t>Değişik:</w:t>
            </w:r>
            <w:r>
              <w:rPr>
                <w:color w:val="FFFFFF"/>
                <w:spacing w:val="-36"/>
                <w:sz w:val="22"/>
              </w:rPr>
              <w:t> </w:t>
            </w:r>
            <w:r>
              <w:rPr>
                <w:color w:val="FFFFFF"/>
                <w:sz w:val="22"/>
              </w:rPr>
              <w:t>29.12.2023</w:t>
            </w:r>
            <w:r>
              <w:rPr>
                <w:color w:val="FFFFFF"/>
                <w:spacing w:val="-35"/>
                <w:sz w:val="22"/>
              </w:rPr>
              <w:t> </w:t>
            </w:r>
            <w:r>
              <w:rPr>
                <w:color w:val="FFFFFF"/>
                <w:sz w:val="22"/>
              </w:rPr>
              <w:t>-</w:t>
            </w:r>
            <w:r>
              <w:rPr>
                <w:color w:val="FFFFFF"/>
                <w:spacing w:val="-36"/>
                <w:sz w:val="22"/>
              </w:rPr>
              <w:t> </w:t>
            </w:r>
            <w:r>
              <w:rPr>
                <w:color w:val="FFFFFF"/>
                <w:sz w:val="22"/>
              </w:rPr>
              <w:t>69089</w:t>
            </w:r>
            <w:r>
              <w:rPr>
                <w:color w:val="FFFFFF"/>
                <w:spacing w:val="-35"/>
                <w:sz w:val="22"/>
              </w:rPr>
              <w:t> </w:t>
            </w:r>
            <w:r>
              <w:rPr>
                <w:color w:val="FFFFFF"/>
                <w:sz w:val="22"/>
              </w:rPr>
              <w:t>)</w:t>
            </w:r>
            <w:r>
              <w:rPr>
                <w:color w:val="FFFFFF"/>
                <w:spacing w:val="-36"/>
                <w:sz w:val="22"/>
              </w:rPr>
              <w:t> </w:t>
            </w:r>
            <w:r>
              <w:rPr>
                <w:color w:val="FFFFFF"/>
                <w:sz w:val="22"/>
              </w:rPr>
              <w:t>Birleşik</w:t>
            </w:r>
            <w:r>
              <w:rPr>
                <w:color w:val="FFFFFF"/>
                <w:spacing w:val="-35"/>
                <w:sz w:val="22"/>
              </w:rPr>
              <w:t> </w:t>
            </w:r>
            <w:r>
              <w:rPr>
                <w:color w:val="FFFFFF"/>
                <w:sz w:val="22"/>
              </w:rPr>
              <w:t>Krallık</w:t>
            </w:r>
            <w:r>
              <w:rPr>
                <w:color w:val="FFFFFF"/>
                <w:spacing w:val="-35"/>
                <w:sz w:val="22"/>
              </w:rPr>
              <w:t> </w:t>
            </w:r>
            <w:r>
              <w:rPr>
                <w:color w:val="FFFFFF"/>
                <w:sz w:val="22"/>
              </w:rPr>
              <w:t>Sivil Havacılık Otoritesi ile karşılıklı ikili anlaşmada aksi belirtilmedikçe ilgili otorite tarafından onaylanmış bir kuruluş tarafından düzenlenmiş olan CAA Form 1 dokümanı 01.01.2025 tarihine</w:t>
            </w:r>
            <w:r>
              <w:rPr>
                <w:color w:val="FFFFFF"/>
                <w:spacing w:val="42"/>
                <w:sz w:val="22"/>
              </w:rPr>
              <w:t> </w:t>
            </w:r>
            <w:r>
              <w:rPr>
                <w:color w:val="FFFFFF"/>
                <w:sz w:val="22"/>
              </w:rPr>
              <w:t>kadar,</w:t>
            </w:r>
          </w:p>
        </w:tc>
      </w:tr>
      <w:tr>
        <w:trPr>
          <w:trHeight w:val="232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spacing w:before="200"/>
              <w:ind w:left="369" w:right="369"/>
              <w:jc w:val="center"/>
              <w:rPr>
                <w:sz w:val="22"/>
              </w:rPr>
            </w:pPr>
            <w:r>
              <w:rPr>
                <w:w w:val="95"/>
                <w:sz w:val="22"/>
              </w:rPr>
              <w:t>AAD-6</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line="254" w:lineRule="auto" w:before="207"/>
              <w:ind w:left="64" w:right="60"/>
              <w:jc w:val="both"/>
              <w:rPr>
                <w:sz w:val="22"/>
              </w:rPr>
            </w:pPr>
            <w:r>
              <w:rPr>
                <w:sz w:val="22"/>
              </w:rPr>
              <w:t>Tüm geçerli AD'lerin ve sürekli uçuşa elverişliliğe etkisi bulnan operasyonel direktiflerin uygulanmasını</w:t>
            </w:r>
            <w:r>
              <w:rPr>
                <w:spacing w:val="-13"/>
                <w:sz w:val="22"/>
              </w:rPr>
              <w:t> </w:t>
            </w:r>
            <w:r>
              <w:rPr>
                <w:sz w:val="22"/>
              </w:rPr>
              <w:t>sağlar,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spacing w:line="254" w:lineRule="auto" w:before="3"/>
              <w:ind w:left="69" w:right="66"/>
              <w:jc w:val="both"/>
              <w:rPr>
                <w:sz w:val="22"/>
              </w:rPr>
            </w:pPr>
            <w:r>
              <w:rPr>
                <w:color w:val="FFFFFF"/>
                <w:sz w:val="22"/>
              </w:rPr>
              <w:t>Genel Müdürlük tarafından aksi belirtilmediği sürece, ilgili hava aracı/komponenti için tasarım kuruluşunun bağlı bulunduğu ülke otoritesi tarafından yayımlanan her bir uçuşa elverişlilik direktifi, ilgili direktifin gerekliliklerine göre uygulanır.</w:t>
            </w:r>
          </w:p>
        </w:tc>
      </w:tr>
    </w:tbl>
    <w:p>
      <w:pPr>
        <w:spacing w:after="0" w:line="254" w:lineRule="auto"/>
        <w:jc w:val="both"/>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after="1"/>
        <w:rPr>
          <w:sz w:val="23"/>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1060" w:hRule="atLeast"/>
        </w:trPr>
        <w:tc>
          <w:tcPr>
            <w:tcW w:w="1560" w:type="dxa"/>
            <w:tcBorders>
              <w:left w:val="single" w:sz="4" w:space="0" w:color="3366FF"/>
              <w:bottom w:val="single" w:sz="4" w:space="0" w:color="3366FF"/>
              <w:right w:val="single" w:sz="4" w:space="0" w:color="3366FF"/>
            </w:tcBorders>
          </w:tcPr>
          <w:p>
            <w:pPr>
              <w:pStyle w:val="TableParagraph"/>
              <w:spacing w:before="1"/>
              <w:rPr>
                <w:sz w:val="35"/>
              </w:rPr>
            </w:pPr>
          </w:p>
          <w:p>
            <w:pPr>
              <w:pStyle w:val="TableParagraph"/>
              <w:ind w:left="369" w:right="369"/>
              <w:jc w:val="center"/>
              <w:rPr>
                <w:sz w:val="22"/>
              </w:rPr>
            </w:pPr>
            <w:r>
              <w:rPr>
                <w:w w:val="95"/>
                <w:sz w:val="22"/>
              </w:rPr>
              <w:t>AAD-7</w:t>
            </w:r>
          </w:p>
        </w:tc>
        <w:tc>
          <w:tcPr>
            <w:tcW w:w="1843" w:type="dxa"/>
            <w:tcBorders>
              <w:left w:val="single" w:sz="4" w:space="0" w:color="3366FF"/>
              <w:bottom w:val="single" w:sz="4" w:space="0" w:color="3366FF"/>
              <w:right w:val="single" w:sz="4" w:space="0" w:color="3366FF"/>
            </w:tcBorders>
          </w:tcPr>
          <w:p>
            <w:pPr>
              <w:pStyle w:val="TableParagraph"/>
              <w:rPr>
                <w:sz w:val="22"/>
              </w:rPr>
            </w:pPr>
          </w:p>
        </w:tc>
        <w:tc>
          <w:tcPr>
            <w:tcW w:w="4800" w:type="dxa"/>
            <w:tcBorders>
              <w:left w:val="single" w:sz="4" w:space="0" w:color="3366FF"/>
              <w:bottom w:val="single" w:sz="4" w:space="0" w:color="3366FF"/>
              <w:right w:val="single" w:sz="4" w:space="0" w:color="3366FF"/>
            </w:tcBorders>
          </w:tcPr>
          <w:p>
            <w:pPr>
              <w:pStyle w:val="TableParagraph"/>
              <w:spacing w:line="254" w:lineRule="auto" w:before="3"/>
              <w:ind w:left="64" w:right="58"/>
              <w:jc w:val="both"/>
              <w:rPr>
                <w:sz w:val="22"/>
              </w:rPr>
            </w:pPr>
            <w:r>
              <w:rPr>
                <w:sz w:val="22"/>
              </w:rPr>
              <w:t>Bakım sırasında ortaya çıkan ya da raporlanan tüm arızaların onaylı bakım kuruluşu veya bağımsız onaylayıcı    personel    tarafından    uygun    şekilde</w:t>
            </w:r>
          </w:p>
          <w:p>
            <w:pPr>
              <w:pStyle w:val="TableParagraph"/>
              <w:spacing w:line="248" w:lineRule="exact" w:before="1"/>
              <w:ind w:left="64"/>
              <w:jc w:val="both"/>
              <w:rPr>
                <w:sz w:val="22"/>
              </w:rPr>
            </w:pPr>
            <w:r>
              <w:rPr>
                <w:sz w:val="22"/>
              </w:rPr>
              <w:t>giderilmesini sağlar,</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r>
        <w:trPr>
          <w:trHeight w:val="8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4"/>
              <w:rPr>
                <w:sz w:val="26"/>
              </w:rPr>
            </w:pPr>
          </w:p>
          <w:p>
            <w:pPr>
              <w:pStyle w:val="TableParagraph"/>
              <w:ind w:left="369" w:right="369"/>
              <w:jc w:val="center"/>
              <w:rPr>
                <w:sz w:val="22"/>
              </w:rPr>
            </w:pPr>
            <w:r>
              <w:rPr>
                <w:w w:val="95"/>
                <w:sz w:val="22"/>
              </w:rPr>
              <w:t>AAD-8</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34"/>
              <w:ind w:left="64" w:right="59"/>
              <w:jc w:val="both"/>
              <w:rPr>
                <w:sz w:val="22"/>
              </w:rPr>
            </w:pPr>
            <w:r>
              <w:rPr>
                <w:sz w:val="22"/>
              </w:rPr>
              <w:t>Gerekli olduğunda hava aracını, bakım için onaylı bakım kuruluşuna yada bağısmız onaylı bakım kuruluşuna götürülmesini sağlar.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11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171"/>
              <w:ind w:left="369" w:right="369"/>
              <w:jc w:val="center"/>
              <w:rPr>
                <w:sz w:val="22"/>
              </w:rPr>
            </w:pPr>
            <w:r>
              <w:rPr>
                <w:w w:val="95"/>
                <w:sz w:val="22"/>
              </w:rPr>
              <w:t>AAD-9</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44"/>
              <w:ind w:left="64" w:right="59"/>
              <w:jc w:val="both"/>
              <w:rPr>
                <w:sz w:val="22"/>
              </w:rPr>
            </w:pPr>
            <w:r>
              <w:rPr>
                <w:sz w:val="22"/>
              </w:rPr>
              <w:t>Tüm işlemlerin uygun şekilde yerine getirilmesini sağlamak amacıyla, planlı bakımları, AD'lerin uygulanmasını, ömürlü parçaların değiştirilmesini ve komponentlerin  kontrolünü  koordine eder.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5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57"/>
              <w:ind w:left="369" w:right="370"/>
              <w:jc w:val="center"/>
              <w:rPr>
                <w:sz w:val="22"/>
              </w:rPr>
            </w:pPr>
            <w:r>
              <w:rPr>
                <w:sz w:val="22"/>
              </w:rPr>
              <w:t>AAD-10</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22"/>
              <w:ind w:left="64" w:right="54"/>
              <w:rPr>
                <w:sz w:val="22"/>
              </w:rPr>
            </w:pPr>
            <w:r>
              <w:rPr>
                <w:sz w:val="22"/>
              </w:rPr>
              <w:t>Tüm</w:t>
            </w:r>
            <w:r>
              <w:rPr>
                <w:spacing w:val="-30"/>
                <w:sz w:val="22"/>
              </w:rPr>
              <w:t> </w:t>
            </w:r>
            <w:r>
              <w:rPr>
                <w:sz w:val="22"/>
              </w:rPr>
              <w:t>sürekli</w:t>
            </w:r>
            <w:r>
              <w:rPr>
                <w:spacing w:val="-31"/>
                <w:sz w:val="22"/>
              </w:rPr>
              <w:t> </w:t>
            </w:r>
            <w:r>
              <w:rPr>
                <w:sz w:val="22"/>
              </w:rPr>
              <w:t>uçuşa</w:t>
            </w:r>
            <w:r>
              <w:rPr>
                <w:spacing w:val="-33"/>
                <w:sz w:val="22"/>
              </w:rPr>
              <w:t> </w:t>
            </w:r>
            <w:r>
              <w:rPr>
                <w:sz w:val="22"/>
              </w:rPr>
              <w:t>elverişlilik</w:t>
            </w:r>
            <w:r>
              <w:rPr>
                <w:spacing w:val="-31"/>
                <w:sz w:val="22"/>
              </w:rPr>
              <w:t> </w:t>
            </w:r>
            <w:r>
              <w:rPr>
                <w:sz w:val="22"/>
              </w:rPr>
              <w:t>kayıtlarını</w:t>
            </w:r>
            <w:r>
              <w:rPr>
                <w:spacing w:val="-31"/>
                <w:sz w:val="22"/>
              </w:rPr>
              <w:t> </w:t>
            </w:r>
            <w:r>
              <w:rPr>
                <w:sz w:val="22"/>
              </w:rPr>
              <w:t>ve</w:t>
            </w:r>
            <w:r>
              <w:rPr>
                <w:spacing w:val="-31"/>
                <w:sz w:val="22"/>
              </w:rPr>
              <w:t> </w:t>
            </w:r>
            <w:r>
              <w:rPr>
                <w:sz w:val="22"/>
              </w:rPr>
              <w:t>zorunlu</w:t>
            </w:r>
            <w:r>
              <w:rPr>
                <w:spacing w:val="-31"/>
                <w:sz w:val="22"/>
              </w:rPr>
              <w:t> </w:t>
            </w:r>
            <w:r>
              <w:rPr>
                <w:sz w:val="22"/>
              </w:rPr>
              <w:t>ise hava aracı teknik kayıt defterini yönetir ve</w:t>
            </w:r>
            <w:r>
              <w:rPr>
                <w:spacing w:val="-10"/>
                <w:sz w:val="22"/>
              </w:rPr>
              <w:t> </w:t>
            </w:r>
            <w:r>
              <w:rPr>
                <w:sz w:val="22"/>
              </w:rPr>
              <w:t>arşivler,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5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57"/>
              <w:ind w:left="369" w:right="370"/>
              <w:jc w:val="center"/>
              <w:rPr>
                <w:sz w:val="22"/>
              </w:rPr>
            </w:pPr>
            <w:r>
              <w:rPr>
                <w:sz w:val="22"/>
              </w:rPr>
              <w:t>AAD-11</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22"/>
              <w:ind w:left="64" w:right="59"/>
              <w:rPr>
                <w:sz w:val="22"/>
              </w:rPr>
            </w:pPr>
            <w:r>
              <w:rPr>
                <w:sz w:val="22"/>
              </w:rPr>
              <w:t>Hava aracının ağırlık ve denge raporunun hava aracının güncel durumunu yansıtmasını sağlar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bl>
    <w:p>
      <w:pPr>
        <w:spacing w:after="0"/>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6"/>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260" w:hRule="atLeast"/>
        </w:trPr>
        <w:tc>
          <w:tcPr>
            <w:tcW w:w="1560" w:type="dxa"/>
            <w:tcBorders>
              <w:left w:val="single" w:sz="4" w:space="0" w:color="3366FF"/>
              <w:bottom w:val="nil"/>
              <w:right w:val="single" w:sz="4" w:space="0" w:color="3366FF"/>
            </w:tcBorders>
          </w:tcPr>
          <w:p>
            <w:pPr>
              <w:pStyle w:val="TableParagraph"/>
              <w:rPr>
                <w:sz w:val="18"/>
              </w:rPr>
            </w:pPr>
          </w:p>
        </w:tc>
        <w:tc>
          <w:tcPr>
            <w:tcW w:w="1843" w:type="dxa"/>
            <w:tcBorders>
              <w:left w:val="single" w:sz="4" w:space="0" w:color="3366FF"/>
              <w:bottom w:val="nil"/>
              <w:right w:val="single" w:sz="4" w:space="0" w:color="3366FF"/>
            </w:tcBorders>
          </w:tcPr>
          <w:p>
            <w:pPr>
              <w:pStyle w:val="TableParagraph"/>
              <w:rPr>
                <w:sz w:val="18"/>
              </w:rPr>
            </w:pPr>
          </w:p>
        </w:tc>
        <w:tc>
          <w:tcPr>
            <w:tcW w:w="4800" w:type="dxa"/>
            <w:tcBorders>
              <w:left w:val="single" w:sz="4" w:space="0" w:color="3366FF"/>
              <w:bottom w:val="nil"/>
              <w:right w:val="single" w:sz="4" w:space="0" w:color="3366FF"/>
            </w:tcBorders>
          </w:tcPr>
          <w:p>
            <w:pPr>
              <w:pStyle w:val="TableParagraph"/>
              <w:rPr>
                <w:sz w:val="18"/>
              </w:rPr>
            </w:pPr>
          </w:p>
        </w:tc>
        <w:tc>
          <w:tcPr>
            <w:tcW w:w="497" w:type="dxa"/>
            <w:vMerge w:val="restart"/>
            <w:tcBorders>
              <w:left w:val="single" w:sz="4" w:space="0" w:color="3366FF"/>
              <w:bottom w:val="single" w:sz="4" w:space="0" w:color="3366FF"/>
              <w:right w:val="single" w:sz="4" w:space="0" w:color="3366FF"/>
            </w:tcBorders>
          </w:tcPr>
          <w:p>
            <w:pPr>
              <w:pStyle w:val="TableParagraph"/>
              <w:rPr>
                <w:sz w:val="22"/>
              </w:rPr>
            </w:pPr>
          </w:p>
        </w:tc>
        <w:tc>
          <w:tcPr>
            <w:tcW w:w="492" w:type="dxa"/>
            <w:vMerge w:val="restart"/>
            <w:tcBorders>
              <w:left w:val="single" w:sz="4" w:space="0" w:color="3366FF"/>
              <w:bottom w:val="single" w:sz="4" w:space="0" w:color="3366FF"/>
              <w:right w:val="single" w:sz="4" w:space="0" w:color="3366FF"/>
            </w:tcBorders>
          </w:tcPr>
          <w:p>
            <w:pPr>
              <w:pStyle w:val="TableParagraph"/>
              <w:rPr>
                <w:sz w:val="22"/>
              </w:rPr>
            </w:pPr>
          </w:p>
        </w:tc>
        <w:tc>
          <w:tcPr>
            <w:tcW w:w="504" w:type="dxa"/>
            <w:vMerge w:val="restart"/>
            <w:tcBorders>
              <w:left w:val="single" w:sz="4" w:space="0" w:color="3366FF"/>
              <w:bottom w:val="single" w:sz="4" w:space="0" w:color="3366FF"/>
              <w:right w:val="single" w:sz="4" w:space="0" w:color="3366FF"/>
            </w:tcBorders>
          </w:tcPr>
          <w:p>
            <w:pPr>
              <w:pStyle w:val="TableParagraph"/>
              <w:rPr>
                <w:sz w:val="22"/>
              </w:rPr>
            </w:pPr>
          </w:p>
        </w:tc>
        <w:tc>
          <w:tcPr>
            <w:tcW w:w="487" w:type="dxa"/>
            <w:vMerge w:val="restart"/>
            <w:tcBorders>
              <w:left w:val="single" w:sz="4" w:space="0" w:color="3366FF"/>
              <w:bottom w:val="single" w:sz="4" w:space="0" w:color="3366FF"/>
              <w:right w:val="single" w:sz="4" w:space="0" w:color="3366FF"/>
            </w:tcBorders>
          </w:tcPr>
          <w:p>
            <w:pPr>
              <w:pStyle w:val="TableParagraph"/>
              <w:rPr>
                <w:sz w:val="22"/>
              </w:rPr>
            </w:pPr>
          </w:p>
        </w:tc>
        <w:tc>
          <w:tcPr>
            <w:tcW w:w="418" w:type="dxa"/>
            <w:vMerge w:val="restart"/>
            <w:tcBorders>
              <w:left w:val="single" w:sz="4" w:space="0" w:color="3366FF"/>
              <w:bottom w:val="single" w:sz="4" w:space="0" w:color="3366FF"/>
              <w:right w:val="single" w:sz="4" w:space="0" w:color="3366FF"/>
            </w:tcBorders>
          </w:tcPr>
          <w:p>
            <w:pPr>
              <w:pStyle w:val="TableParagraph"/>
              <w:rPr>
                <w:sz w:val="22"/>
              </w:rPr>
            </w:pPr>
          </w:p>
        </w:tc>
        <w:tc>
          <w:tcPr>
            <w:tcW w:w="446" w:type="dxa"/>
            <w:vMerge w:val="restart"/>
            <w:tcBorders>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spacing w:line="240" w:lineRule="exact" w:before="1"/>
              <w:ind w:left="69"/>
              <w:rPr>
                <w:sz w:val="22"/>
              </w:rPr>
            </w:pPr>
            <w:r>
              <w:rPr>
                <w:color w:val="FFFFFF"/>
                <w:sz w:val="22"/>
              </w:rPr>
              <w:t>a) Uçuş saatleri ile kontrol edilen bakım gereklilikleri</w:t>
            </w:r>
          </w:p>
        </w:tc>
      </w:tr>
      <w:tr>
        <w:trPr>
          <w:trHeight w:val="240" w:hRule="atLeast"/>
        </w:trPr>
        <w:tc>
          <w:tcPr>
            <w:tcW w:w="1560" w:type="dxa"/>
            <w:tcBorders>
              <w:top w:val="nil"/>
              <w:left w:val="single" w:sz="4" w:space="0" w:color="3366FF"/>
              <w:bottom w:val="nil"/>
              <w:right w:val="single" w:sz="4" w:space="0" w:color="3366FF"/>
            </w:tcBorders>
          </w:tcPr>
          <w:p>
            <w:pPr>
              <w:pStyle w:val="TableParagraph"/>
              <w:rPr>
                <w:sz w:val="18"/>
              </w:rPr>
            </w:pPr>
          </w:p>
        </w:tc>
        <w:tc>
          <w:tcPr>
            <w:tcW w:w="1843" w:type="dxa"/>
            <w:tcBorders>
              <w:top w:val="nil"/>
              <w:left w:val="single" w:sz="4" w:space="0" w:color="3366FF"/>
              <w:bottom w:val="nil"/>
              <w:right w:val="single" w:sz="4" w:space="0" w:color="3366FF"/>
            </w:tcBorders>
          </w:tcPr>
          <w:p>
            <w:pPr>
              <w:pStyle w:val="TableParagraph"/>
              <w:rPr>
                <w:sz w:val="18"/>
              </w:rPr>
            </w:pPr>
          </w:p>
        </w:tc>
        <w:tc>
          <w:tcPr>
            <w:tcW w:w="4800" w:type="dxa"/>
            <w:tcBorders>
              <w:top w:val="nil"/>
              <w:left w:val="single" w:sz="4" w:space="0" w:color="3366FF"/>
              <w:bottom w:val="nil"/>
              <w:right w:val="single" w:sz="4" w:space="0" w:color="3366FF"/>
            </w:tcBorders>
          </w:tcPr>
          <w:p>
            <w:pPr>
              <w:pStyle w:val="TableParagraph"/>
              <w:rPr>
                <w:sz w:val="18"/>
              </w:rPr>
            </w:pP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spacing w:line="239" w:lineRule="exact"/>
              <w:ind w:left="69"/>
              <w:rPr>
                <w:sz w:val="22"/>
              </w:rPr>
            </w:pPr>
            <w:r>
              <w:rPr>
                <w:color w:val="FFFFFF"/>
                <w:sz w:val="22"/>
              </w:rPr>
              <w:t>için:</w:t>
            </w:r>
          </w:p>
        </w:tc>
      </w:tr>
      <w:tr>
        <w:trPr>
          <w:trHeight w:val="240" w:hRule="atLeast"/>
        </w:trPr>
        <w:tc>
          <w:tcPr>
            <w:tcW w:w="1560" w:type="dxa"/>
            <w:tcBorders>
              <w:top w:val="nil"/>
              <w:left w:val="single" w:sz="4" w:space="0" w:color="3366FF"/>
              <w:bottom w:val="nil"/>
              <w:right w:val="single" w:sz="4" w:space="0" w:color="3366FF"/>
            </w:tcBorders>
          </w:tcPr>
          <w:p>
            <w:pPr>
              <w:pStyle w:val="TableParagraph"/>
              <w:rPr>
                <w:sz w:val="18"/>
              </w:rPr>
            </w:pPr>
          </w:p>
        </w:tc>
        <w:tc>
          <w:tcPr>
            <w:tcW w:w="1843" w:type="dxa"/>
            <w:tcBorders>
              <w:top w:val="nil"/>
              <w:left w:val="single" w:sz="4" w:space="0" w:color="3366FF"/>
              <w:bottom w:val="nil"/>
              <w:right w:val="single" w:sz="4" w:space="0" w:color="3366FF"/>
            </w:tcBorders>
          </w:tcPr>
          <w:p>
            <w:pPr>
              <w:pStyle w:val="TableParagraph"/>
              <w:rPr>
                <w:sz w:val="18"/>
              </w:rPr>
            </w:pPr>
          </w:p>
        </w:tc>
        <w:tc>
          <w:tcPr>
            <w:tcW w:w="4800" w:type="dxa"/>
            <w:tcBorders>
              <w:top w:val="nil"/>
              <w:left w:val="single" w:sz="4" w:space="0" w:color="3366FF"/>
              <w:bottom w:val="nil"/>
              <w:right w:val="single" w:sz="4" w:space="0" w:color="3366FF"/>
            </w:tcBorders>
          </w:tcPr>
          <w:p>
            <w:pPr>
              <w:pStyle w:val="TableParagraph"/>
              <w:rPr>
                <w:sz w:val="18"/>
              </w:rPr>
            </w:pP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spacing w:line="239" w:lineRule="exact"/>
              <w:ind w:left="69"/>
              <w:rPr>
                <w:sz w:val="22"/>
              </w:rPr>
            </w:pPr>
            <w:r>
              <w:rPr>
                <w:color w:val="FFFFFF"/>
                <w:sz w:val="22"/>
              </w:rPr>
              <w:t>1) 5000 uçuş saati veya daha az bakım periyotları  için</w:t>
            </w:r>
          </w:p>
        </w:tc>
      </w:tr>
      <w:tr>
        <w:trPr>
          <w:trHeight w:val="240" w:hRule="atLeast"/>
        </w:trPr>
        <w:tc>
          <w:tcPr>
            <w:tcW w:w="1560" w:type="dxa"/>
            <w:tcBorders>
              <w:top w:val="nil"/>
              <w:left w:val="single" w:sz="4" w:space="0" w:color="3366FF"/>
              <w:bottom w:val="nil"/>
              <w:right w:val="single" w:sz="4" w:space="0" w:color="3366FF"/>
            </w:tcBorders>
          </w:tcPr>
          <w:p>
            <w:pPr>
              <w:pStyle w:val="TableParagraph"/>
              <w:rPr>
                <w:sz w:val="18"/>
              </w:rPr>
            </w:pPr>
          </w:p>
        </w:tc>
        <w:tc>
          <w:tcPr>
            <w:tcW w:w="1843" w:type="dxa"/>
            <w:tcBorders>
              <w:top w:val="nil"/>
              <w:left w:val="single" w:sz="4" w:space="0" w:color="3366FF"/>
              <w:bottom w:val="nil"/>
              <w:right w:val="single" w:sz="4" w:space="0" w:color="3366FF"/>
            </w:tcBorders>
          </w:tcPr>
          <w:p>
            <w:pPr>
              <w:pStyle w:val="TableParagraph"/>
              <w:rPr>
                <w:sz w:val="18"/>
              </w:rPr>
            </w:pPr>
          </w:p>
        </w:tc>
        <w:tc>
          <w:tcPr>
            <w:tcW w:w="4800" w:type="dxa"/>
            <w:tcBorders>
              <w:top w:val="nil"/>
              <w:left w:val="single" w:sz="4" w:space="0" w:color="3366FF"/>
              <w:bottom w:val="nil"/>
              <w:right w:val="single" w:sz="4" w:space="0" w:color="3366FF"/>
            </w:tcBorders>
          </w:tcPr>
          <w:p>
            <w:pPr>
              <w:pStyle w:val="TableParagraph"/>
              <w:rPr>
                <w:sz w:val="18"/>
              </w:rPr>
            </w:pP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tabs>
                <w:tab w:pos="4343" w:val="left" w:leader="none"/>
              </w:tabs>
              <w:spacing w:line="239" w:lineRule="exact"/>
              <w:ind w:left="69"/>
              <w:rPr>
                <w:sz w:val="22"/>
              </w:rPr>
            </w:pPr>
            <w:r>
              <w:rPr>
                <w:color w:val="FFFFFF"/>
                <w:w w:val="105"/>
                <w:sz w:val="22"/>
              </w:rPr>
              <w:t>%10'a</w:t>
              <w:tab/>
              <w:t>kadar,</w:t>
            </w:r>
          </w:p>
        </w:tc>
      </w:tr>
      <w:tr>
        <w:trPr>
          <w:trHeight w:val="240" w:hRule="atLeast"/>
        </w:trPr>
        <w:tc>
          <w:tcPr>
            <w:tcW w:w="1560" w:type="dxa"/>
            <w:tcBorders>
              <w:top w:val="nil"/>
              <w:left w:val="single" w:sz="4" w:space="0" w:color="3366FF"/>
              <w:bottom w:val="nil"/>
              <w:right w:val="single" w:sz="4" w:space="0" w:color="3366FF"/>
            </w:tcBorders>
          </w:tcPr>
          <w:p>
            <w:pPr>
              <w:pStyle w:val="TableParagraph"/>
              <w:rPr>
                <w:sz w:val="18"/>
              </w:rPr>
            </w:pPr>
          </w:p>
        </w:tc>
        <w:tc>
          <w:tcPr>
            <w:tcW w:w="1843" w:type="dxa"/>
            <w:tcBorders>
              <w:top w:val="nil"/>
              <w:left w:val="single" w:sz="4" w:space="0" w:color="3366FF"/>
              <w:bottom w:val="nil"/>
              <w:right w:val="single" w:sz="4" w:space="0" w:color="3366FF"/>
            </w:tcBorders>
          </w:tcPr>
          <w:p>
            <w:pPr>
              <w:pStyle w:val="TableParagraph"/>
              <w:rPr>
                <w:sz w:val="18"/>
              </w:rPr>
            </w:pPr>
          </w:p>
        </w:tc>
        <w:tc>
          <w:tcPr>
            <w:tcW w:w="4800" w:type="dxa"/>
            <w:tcBorders>
              <w:top w:val="nil"/>
              <w:left w:val="single" w:sz="4" w:space="0" w:color="3366FF"/>
              <w:bottom w:val="nil"/>
              <w:right w:val="single" w:sz="4" w:space="0" w:color="3366FF"/>
            </w:tcBorders>
          </w:tcPr>
          <w:p>
            <w:pPr>
              <w:pStyle w:val="TableParagraph"/>
              <w:rPr>
                <w:sz w:val="18"/>
              </w:rPr>
            </w:pP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spacing w:line="238" w:lineRule="exact"/>
              <w:ind w:left="69"/>
              <w:rPr>
                <w:sz w:val="22"/>
              </w:rPr>
            </w:pPr>
            <w:r>
              <w:rPr>
                <w:color w:val="FFFFFF"/>
                <w:sz w:val="22"/>
              </w:rPr>
              <w:t>2) 5000 uçuş saatinden fazla bakım periyotları için 500</w:t>
            </w:r>
          </w:p>
        </w:tc>
      </w:tr>
      <w:tr>
        <w:trPr>
          <w:trHeight w:val="240" w:hRule="atLeast"/>
        </w:trPr>
        <w:tc>
          <w:tcPr>
            <w:tcW w:w="1560" w:type="dxa"/>
            <w:tcBorders>
              <w:top w:val="nil"/>
              <w:left w:val="single" w:sz="4" w:space="0" w:color="3366FF"/>
              <w:bottom w:val="nil"/>
              <w:right w:val="single" w:sz="4" w:space="0" w:color="3366FF"/>
            </w:tcBorders>
          </w:tcPr>
          <w:p>
            <w:pPr>
              <w:pStyle w:val="TableParagraph"/>
              <w:rPr>
                <w:sz w:val="18"/>
              </w:rPr>
            </w:pPr>
          </w:p>
        </w:tc>
        <w:tc>
          <w:tcPr>
            <w:tcW w:w="1843" w:type="dxa"/>
            <w:tcBorders>
              <w:top w:val="nil"/>
              <w:left w:val="single" w:sz="4" w:space="0" w:color="3366FF"/>
              <w:bottom w:val="nil"/>
              <w:right w:val="single" w:sz="4" w:space="0" w:color="3366FF"/>
            </w:tcBorders>
          </w:tcPr>
          <w:p>
            <w:pPr>
              <w:pStyle w:val="TableParagraph"/>
              <w:rPr>
                <w:sz w:val="18"/>
              </w:rPr>
            </w:pPr>
          </w:p>
        </w:tc>
        <w:tc>
          <w:tcPr>
            <w:tcW w:w="4800" w:type="dxa"/>
            <w:tcBorders>
              <w:top w:val="nil"/>
              <w:left w:val="single" w:sz="4" w:space="0" w:color="3366FF"/>
              <w:bottom w:val="nil"/>
              <w:right w:val="single" w:sz="4" w:space="0" w:color="3366FF"/>
            </w:tcBorders>
          </w:tcPr>
          <w:p>
            <w:pPr>
              <w:pStyle w:val="TableParagraph"/>
              <w:rPr>
                <w:sz w:val="18"/>
              </w:rPr>
            </w:pP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tabs>
                <w:tab w:pos="908" w:val="left" w:leader="none"/>
                <w:tab w:pos="1983" w:val="left" w:leader="none"/>
                <w:tab w:pos="2914" w:val="left" w:leader="none"/>
                <w:tab w:pos="4008" w:val="left" w:leader="none"/>
              </w:tabs>
              <w:spacing w:line="238" w:lineRule="exact"/>
              <w:ind w:left="69"/>
              <w:rPr>
                <w:sz w:val="22"/>
              </w:rPr>
            </w:pPr>
            <w:r>
              <w:rPr>
                <w:color w:val="FFFFFF"/>
                <w:sz w:val="22"/>
              </w:rPr>
              <w:t>uçuş</w:t>
              <w:tab/>
              <w:t>saatine</w:t>
              <w:tab/>
              <w:t>kadar</w:t>
              <w:tab/>
              <w:t>uzatma</w:t>
              <w:tab/>
              <w:t>verilebilir.</w:t>
            </w:r>
          </w:p>
        </w:tc>
      </w:tr>
      <w:tr>
        <w:trPr>
          <w:trHeight w:val="240" w:hRule="atLeast"/>
        </w:trPr>
        <w:tc>
          <w:tcPr>
            <w:tcW w:w="1560" w:type="dxa"/>
            <w:tcBorders>
              <w:top w:val="nil"/>
              <w:left w:val="single" w:sz="4" w:space="0" w:color="3366FF"/>
              <w:bottom w:val="nil"/>
              <w:right w:val="single" w:sz="4" w:space="0" w:color="3366FF"/>
            </w:tcBorders>
          </w:tcPr>
          <w:p>
            <w:pPr>
              <w:pStyle w:val="TableParagraph"/>
              <w:rPr>
                <w:sz w:val="18"/>
              </w:rPr>
            </w:pPr>
          </w:p>
        </w:tc>
        <w:tc>
          <w:tcPr>
            <w:tcW w:w="1843" w:type="dxa"/>
            <w:tcBorders>
              <w:top w:val="nil"/>
              <w:left w:val="single" w:sz="4" w:space="0" w:color="3366FF"/>
              <w:bottom w:val="nil"/>
              <w:right w:val="single" w:sz="4" w:space="0" w:color="3366FF"/>
            </w:tcBorders>
          </w:tcPr>
          <w:p>
            <w:pPr>
              <w:pStyle w:val="TableParagraph"/>
              <w:rPr>
                <w:sz w:val="18"/>
              </w:rPr>
            </w:pPr>
          </w:p>
        </w:tc>
        <w:tc>
          <w:tcPr>
            <w:tcW w:w="4800" w:type="dxa"/>
            <w:tcBorders>
              <w:top w:val="nil"/>
              <w:left w:val="single" w:sz="4" w:space="0" w:color="3366FF"/>
              <w:bottom w:val="nil"/>
              <w:right w:val="single" w:sz="4" w:space="0" w:color="3366FF"/>
            </w:tcBorders>
          </w:tcPr>
          <w:p>
            <w:pPr>
              <w:pStyle w:val="TableParagraph"/>
              <w:rPr>
                <w:sz w:val="18"/>
              </w:rPr>
            </w:pP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spacing w:line="239" w:lineRule="exact"/>
              <w:ind w:left="69"/>
              <w:rPr>
                <w:sz w:val="22"/>
              </w:rPr>
            </w:pPr>
            <w:r>
              <w:rPr>
                <w:color w:val="FFFFFF"/>
                <w:sz w:val="22"/>
              </w:rPr>
              <w:t>b)</w:t>
            </w:r>
            <w:r>
              <w:rPr>
                <w:color w:val="FFFFFF"/>
                <w:spacing w:val="-27"/>
                <w:sz w:val="22"/>
              </w:rPr>
              <w:t> </w:t>
            </w:r>
            <w:r>
              <w:rPr>
                <w:color w:val="FFFFFF"/>
                <w:sz w:val="22"/>
              </w:rPr>
              <w:t>Takvim</w:t>
            </w:r>
            <w:r>
              <w:rPr>
                <w:color w:val="FFFFFF"/>
                <w:spacing w:val="-26"/>
                <w:sz w:val="22"/>
              </w:rPr>
              <w:t> </w:t>
            </w:r>
            <w:r>
              <w:rPr>
                <w:color w:val="FFFFFF"/>
                <w:sz w:val="22"/>
              </w:rPr>
              <w:t>Zamanı</w:t>
            </w:r>
            <w:r>
              <w:rPr>
                <w:color w:val="FFFFFF"/>
                <w:spacing w:val="-27"/>
                <w:sz w:val="22"/>
              </w:rPr>
              <w:t> </w:t>
            </w:r>
            <w:r>
              <w:rPr>
                <w:color w:val="FFFFFF"/>
                <w:sz w:val="22"/>
              </w:rPr>
              <w:t>ile</w:t>
            </w:r>
            <w:r>
              <w:rPr>
                <w:color w:val="FFFFFF"/>
                <w:spacing w:val="-27"/>
                <w:sz w:val="22"/>
              </w:rPr>
              <w:t> </w:t>
            </w:r>
            <w:r>
              <w:rPr>
                <w:color w:val="FFFFFF"/>
                <w:sz w:val="22"/>
              </w:rPr>
              <w:t>kontrol</w:t>
            </w:r>
            <w:r>
              <w:rPr>
                <w:color w:val="FFFFFF"/>
                <w:spacing w:val="-29"/>
                <w:sz w:val="22"/>
              </w:rPr>
              <w:t> </w:t>
            </w:r>
            <w:r>
              <w:rPr>
                <w:color w:val="FFFFFF"/>
                <w:sz w:val="22"/>
              </w:rPr>
              <w:t>edilen</w:t>
            </w:r>
            <w:r>
              <w:rPr>
                <w:color w:val="FFFFFF"/>
                <w:spacing w:val="-26"/>
                <w:sz w:val="22"/>
              </w:rPr>
              <w:t> </w:t>
            </w:r>
            <w:r>
              <w:rPr>
                <w:color w:val="FFFFFF"/>
                <w:sz w:val="22"/>
              </w:rPr>
              <w:t>bakım</w:t>
            </w:r>
            <w:r>
              <w:rPr>
                <w:color w:val="FFFFFF"/>
                <w:spacing w:val="-27"/>
                <w:sz w:val="22"/>
              </w:rPr>
              <w:t> </w:t>
            </w:r>
            <w:r>
              <w:rPr>
                <w:color w:val="FFFFFF"/>
                <w:sz w:val="22"/>
              </w:rPr>
              <w:t>gereklilikleri</w:t>
            </w:r>
          </w:p>
        </w:tc>
      </w:tr>
      <w:tr>
        <w:trPr>
          <w:trHeight w:val="3480" w:hRule="atLeast"/>
        </w:trPr>
        <w:tc>
          <w:tcPr>
            <w:tcW w:w="1560" w:type="dxa"/>
            <w:tcBorders>
              <w:top w:val="nil"/>
              <w:left w:val="single" w:sz="4" w:space="0" w:color="3366FF"/>
              <w:bottom w:val="nil"/>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
              <w:rPr>
                <w:sz w:val="19"/>
              </w:rPr>
            </w:pPr>
          </w:p>
          <w:p>
            <w:pPr>
              <w:pStyle w:val="TableParagraph"/>
              <w:ind w:left="369" w:right="370"/>
              <w:jc w:val="center"/>
              <w:rPr>
                <w:sz w:val="22"/>
              </w:rPr>
            </w:pPr>
            <w:r>
              <w:rPr>
                <w:sz w:val="22"/>
              </w:rPr>
              <w:t>16</w:t>
            </w:r>
          </w:p>
        </w:tc>
        <w:tc>
          <w:tcPr>
            <w:tcW w:w="1843" w:type="dxa"/>
            <w:tcBorders>
              <w:top w:val="nil"/>
              <w:left w:val="single" w:sz="4" w:space="0" w:color="3366FF"/>
              <w:bottom w:val="nil"/>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
              <w:rPr>
                <w:sz w:val="19"/>
              </w:rPr>
            </w:pPr>
          </w:p>
          <w:p>
            <w:pPr>
              <w:pStyle w:val="TableParagraph"/>
              <w:ind w:left="64"/>
              <w:rPr>
                <w:sz w:val="22"/>
              </w:rPr>
            </w:pPr>
            <w:r>
              <w:rPr>
                <w:w w:val="95"/>
                <w:sz w:val="22"/>
              </w:rPr>
              <w:t>SHT-BPU</w:t>
            </w:r>
          </w:p>
        </w:tc>
        <w:tc>
          <w:tcPr>
            <w:tcW w:w="4800" w:type="dxa"/>
            <w:tcBorders>
              <w:top w:val="nil"/>
              <w:left w:val="single" w:sz="4" w:space="0" w:color="3366FF"/>
              <w:bottom w:val="nil"/>
              <w:right w:val="single" w:sz="4" w:space="0" w:color="3366FF"/>
            </w:tcBorders>
          </w:tcPr>
          <w:p>
            <w:pPr>
              <w:pStyle w:val="TableParagraph"/>
              <w:spacing w:line="254" w:lineRule="auto" w:before="133"/>
              <w:ind w:left="64" w:right="58"/>
              <w:jc w:val="both"/>
              <w:rPr>
                <w:sz w:val="22"/>
              </w:rPr>
            </w:pPr>
            <w:r>
              <w:rPr>
                <w:sz w:val="22"/>
              </w:rPr>
              <w:t>Bakım programı periyotlarında bu Talimatın 9'uncu maddesinde limitlenen kısa süreli uzatma; tip sertifikası sahibi tarafından önerilen limitler içerisinde olması ve aşağıda beliıtilen şartların sağlanması halinde, SYK Kalite Müdüıii ve Sürekli Uçuşa Elverişlilik Müdüıü veya hava aracı sahibi onayı ile yapılabilir. Bu durumda SHGM onayı alınmasına gerek bulunmamaktadır. Yapılan uzatma onayı 72 saat içerisinde gerekçesi ile birlikte Kısa Süreli Bakım Uzatma Bilgilendirme Formu (SHGM Form No: 281) kullanılarak ued. bildirim@),.,shgm.gov. tr adresine bildirilir.</w:t>
            </w: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spacing w:line="251" w:lineRule="exact"/>
              <w:ind w:left="69"/>
              <w:jc w:val="both"/>
              <w:rPr>
                <w:sz w:val="22"/>
              </w:rPr>
            </w:pPr>
            <w:r>
              <w:rPr>
                <w:color w:val="FFFFFF"/>
                <w:sz w:val="22"/>
              </w:rPr>
              <w:t>için:</w:t>
            </w:r>
          </w:p>
          <w:p>
            <w:pPr>
              <w:pStyle w:val="TableParagraph"/>
              <w:spacing w:line="254" w:lineRule="auto" w:before="16"/>
              <w:ind w:left="69" w:right="65"/>
              <w:jc w:val="both"/>
              <w:rPr>
                <w:sz w:val="22"/>
              </w:rPr>
            </w:pPr>
            <w:r>
              <w:rPr>
                <w:color w:val="FFFFFF"/>
                <w:sz w:val="22"/>
              </w:rPr>
              <w:t>l) l yıl veya daha az bakım periyotları için %10'a kadar veya</w:t>
            </w:r>
          </w:p>
          <w:p>
            <w:pPr>
              <w:pStyle w:val="TableParagraph"/>
              <w:numPr>
                <w:ilvl w:val="0"/>
                <w:numId w:val="2"/>
              </w:numPr>
              <w:tabs>
                <w:tab w:pos="306" w:val="left" w:leader="none"/>
                <w:tab w:pos="1580" w:val="left" w:leader="none"/>
                <w:tab w:pos="2889" w:val="left" w:leader="none"/>
                <w:tab w:pos="4399" w:val="left" w:leader="none"/>
              </w:tabs>
              <w:spacing w:line="254" w:lineRule="auto" w:before="1" w:after="0"/>
              <w:ind w:left="69" w:right="65" w:firstLine="0"/>
              <w:jc w:val="both"/>
              <w:rPr>
                <w:sz w:val="22"/>
              </w:rPr>
            </w:pPr>
            <w:r>
              <w:rPr>
                <w:color w:val="FFFFFF"/>
                <w:sz w:val="22"/>
              </w:rPr>
              <w:t>1 yıldan fazla fakat 3 yılı aşmayan bakım</w:t>
            </w:r>
            <w:r>
              <w:rPr>
                <w:color w:val="FFFFFF"/>
                <w:spacing w:val="-20"/>
                <w:sz w:val="22"/>
              </w:rPr>
              <w:t> </w:t>
            </w:r>
            <w:r>
              <w:rPr>
                <w:color w:val="FFFFFF"/>
                <w:sz w:val="22"/>
              </w:rPr>
              <w:t>periyotları için</w:t>
              <w:tab/>
              <w:t>2</w:t>
              <w:tab/>
              <w:t>aya</w:t>
              <w:tab/>
            </w:r>
            <w:r>
              <w:rPr>
                <w:color w:val="FFFFFF"/>
                <w:spacing w:val="-1"/>
                <w:sz w:val="22"/>
              </w:rPr>
              <w:t>kadar</w:t>
            </w:r>
          </w:p>
          <w:p>
            <w:pPr>
              <w:pStyle w:val="TableParagraph"/>
              <w:numPr>
                <w:ilvl w:val="0"/>
                <w:numId w:val="2"/>
              </w:numPr>
              <w:tabs>
                <w:tab w:pos="348" w:val="left" w:leader="none"/>
                <w:tab w:pos="2031" w:val="left" w:leader="none"/>
                <w:tab w:pos="4533" w:val="left" w:leader="none"/>
              </w:tabs>
              <w:spacing w:line="254" w:lineRule="auto" w:before="1" w:after="0"/>
              <w:ind w:left="69" w:right="66" w:firstLine="0"/>
              <w:jc w:val="both"/>
              <w:rPr>
                <w:sz w:val="22"/>
              </w:rPr>
            </w:pPr>
            <w:r>
              <w:rPr>
                <w:color w:val="FFFFFF"/>
                <w:sz w:val="22"/>
              </w:rPr>
              <w:t>3 yıldan fazla bakım periyotları için 3 aya kadar uzatma verilebilir.</w:t>
            </w:r>
            <w:r>
              <w:rPr>
                <w:color w:val="FFFFFF"/>
                <w:spacing w:val="5"/>
                <w:sz w:val="22"/>
              </w:rPr>
              <w:t> </w:t>
            </w:r>
            <w:r>
              <w:rPr>
                <w:color w:val="FFFFFF"/>
                <w:sz w:val="22"/>
              </w:rPr>
              <w:t>c) İniş sayıları ile kontrol edilen bakım</w:t>
              <w:tab/>
              <w:t>gereklilikleri</w:t>
              <w:tab/>
            </w:r>
            <w:r>
              <w:rPr>
                <w:color w:val="FFFFFF"/>
                <w:w w:val="90"/>
                <w:sz w:val="22"/>
              </w:rPr>
              <w:t>için:</w:t>
            </w:r>
          </w:p>
          <w:p>
            <w:pPr>
              <w:pStyle w:val="TableParagraph"/>
              <w:spacing w:before="1"/>
              <w:ind w:left="69"/>
              <w:jc w:val="both"/>
              <w:rPr>
                <w:sz w:val="22"/>
              </w:rPr>
            </w:pPr>
            <w:r>
              <w:rPr>
                <w:color w:val="FFFFFF"/>
                <w:sz w:val="22"/>
              </w:rPr>
              <w:t>l) 500 iniş sayısı veya daha az bakım periyotları için</w:t>
            </w:r>
          </w:p>
          <w:p>
            <w:pPr>
              <w:pStyle w:val="TableParagraph"/>
              <w:tabs>
                <w:tab w:pos="2460" w:val="left" w:leader="none"/>
                <w:tab w:pos="4601" w:val="left" w:leader="none"/>
              </w:tabs>
              <w:spacing w:line="254" w:lineRule="auto" w:before="15"/>
              <w:ind w:left="69" w:right="64"/>
              <w:jc w:val="both"/>
              <w:rPr>
                <w:sz w:val="22"/>
              </w:rPr>
            </w:pPr>
            <w:r>
              <w:rPr>
                <w:color w:val="FFFFFF"/>
                <w:sz w:val="22"/>
              </w:rPr>
              <w:t>%5'e   veya    25    iniş    sayısı    kadar,    hangisi   daha</w:t>
              <w:tab/>
              <w:t>az</w:t>
              <w:tab/>
              <w:t>ise,</w:t>
            </w:r>
          </w:p>
          <w:p>
            <w:pPr>
              <w:pStyle w:val="TableParagraph"/>
              <w:ind w:left="69"/>
              <w:jc w:val="both"/>
              <w:rPr>
                <w:sz w:val="22"/>
              </w:rPr>
            </w:pPr>
            <w:r>
              <w:rPr>
                <w:color w:val="FFFFFF"/>
                <w:sz w:val="22"/>
              </w:rPr>
              <w:t>2) 500 iniş sayısından fazla bakım periyotları için %5'e</w:t>
            </w:r>
          </w:p>
          <w:p>
            <w:pPr>
              <w:pStyle w:val="TableParagraph"/>
              <w:spacing w:line="240" w:lineRule="exact" w:before="15"/>
              <w:ind w:left="69"/>
              <w:jc w:val="both"/>
              <w:rPr>
                <w:sz w:val="22"/>
              </w:rPr>
            </w:pPr>
            <w:r>
              <w:rPr>
                <w:color w:val="FFFFFF"/>
                <w:sz w:val="22"/>
              </w:rPr>
              <w:t>veya      250      iniş      sayısı,      hangisi      daha     az</w:t>
            </w:r>
          </w:p>
        </w:tc>
      </w:tr>
      <w:tr>
        <w:trPr>
          <w:trHeight w:val="1860" w:hRule="atLeast"/>
        </w:trPr>
        <w:tc>
          <w:tcPr>
            <w:tcW w:w="1560" w:type="dxa"/>
            <w:tcBorders>
              <w:top w:val="nil"/>
              <w:left w:val="single" w:sz="4" w:space="0" w:color="3366FF"/>
              <w:bottom w:val="single" w:sz="4" w:space="0" w:color="3366FF"/>
              <w:right w:val="single" w:sz="4" w:space="0" w:color="3366FF"/>
            </w:tcBorders>
          </w:tcPr>
          <w:p>
            <w:pPr>
              <w:pStyle w:val="TableParagraph"/>
              <w:rPr>
                <w:sz w:val="22"/>
              </w:rPr>
            </w:pPr>
          </w:p>
        </w:tc>
        <w:tc>
          <w:tcPr>
            <w:tcW w:w="1843" w:type="dxa"/>
            <w:tcBorders>
              <w:top w:val="nil"/>
              <w:left w:val="single" w:sz="4" w:space="0" w:color="3366FF"/>
              <w:bottom w:val="single" w:sz="4" w:space="0" w:color="3366FF"/>
              <w:right w:val="single" w:sz="4" w:space="0" w:color="3366FF"/>
            </w:tcBorders>
          </w:tcPr>
          <w:p>
            <w:pPr>
              <w:pStyle w:val="TableParagraph"/>
              <w:rPr>
                <w:sz w:val="22"/>
              </w:rPr>
            </w:pPr>
          </w:p>
        </w:tc>
        <w:tc>
          <w:tcPr>
            <w:tcW w:w="4800" w:type="dxa"/>
            <w:tcBorders>
              <w:top w:val="nil"/>
              <w:left w:val="single" w:sz="4" w:space="0" w:color="3366FF"/>
              <w:bottom w:val="single" w:sz="4" w:space="0" w:color="3366FF"/>
              <w:right w:val="single" w:sz="4" w:space="0" w:color="3366FF"/>
            </w:tcBorders>
          </w:tcPr>
          <w:p>
            <w:pPr>
              <w:pStyle w:val="TableParagraph"/>
              <w:rPr>
                <w:sz w:val="22"/>
              </w:rPr>
            </w:pP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spacing w:line="251" w:lineRule="exact"/>
              <w:ind w:left="69"/>
              <w:rPr>
                <w:sz w:val="22"/>
              </w:rPr>
            </w:pPr>
            <w:r>
              <w:rPr>
                <w:color w:val="FFFFFF"/>
                <w:sz w:val="22"/>
              </w:rPr>
              <w:t>ise, uzatma veıilebilir.</w:t>
            </w:r>
          </w:p>
        </w:tc>
      </w:tr>
    </w:tbl>
    <w:p>
      <w:pPr>
        <w:spacing w:after="0" w:line="251" w:lineRule="exact"/>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spacing w:before="2"/>
        <w:rPr>
          <w:sz w:val="12"/>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144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spacing w:before="7"/>
              <w:rPr>
                <w:sz w:val="27"/>
              </w:rPr>
            </w:pPr>
          </w:p>
          <w:p>
            <w:pPr>
              <w:pStyle w:val="TableParagraph"/>
              <w:ind w:left="369" w:right="369"/>
              <w:jc w:val="center"/>
              <w:rPr>
                <w:sz w:val="22"/>
              </w:rPr>
            </w:pPr>
            <w:r>
              <w:rPr>
                <w:w w:val="95"/>
                <w:sz w:val="22"/>
              </w:rPr>
              <w:t>AAD-1</w:t>
            </w:r>
          </w:p>
        </w:tc>
        <w:tc>
          <w:tcPr>
            <w:tcW w:w="1843" w:type="dxa"/>
            <w:tcBorders>
              <w:left w:val="single" w:sz="4" w:space="0" w:color="3366FF"/>
              <w:bottom w:val="single" w:sz="4" w:space="0" w:color="3366FF"/>
              <w:right w:val="single" w:sz="4" w:space="0" w:color="3366FF"/>
            </w:tcBorders>
          </w:tcPr>
          <w:p>
            <w:pPr>
              <w:pStyle w:val="TableParagraph"/>
              <w:rPr>
                <w:sz w:val="22"/>
              </w:rPr>
            </w:pPr>
          </w:p>
        </w:tc>
        <w:tc>
          <w:tcPr>
            <w:tcW w:w="4800" w:type="dxa"/>
            <w:tcBorders>
              <w:left w:val="single" w:sz="4" w:space="0" w:color="3366FF"/>
              <w:bottom w:val="single" w:sz="4" w:space="0" w:color="3366FF"/>
              <w:right w:val="single" w:sz="4" w:space="0" w:color="3366FF"/>
            </w:tcBorders>
          </w:tcPr>
          <w:p>
            <w:pPr>
              <w:pStyle w:val="TableParagraph"/>
              <w:spacing w:line="254" w:lineRule="auto" w:before="56"/>
              <w:ind w:left="64" w:right="58"/>
              <w:jc w:val="both"/>
              <w:rPr>
                <w:sz w:val="22"/>
              </w:rPr>
            </w:pPr>
            <w:r>
              <w:rPr>
                <w:sz w:val="22"/>
              </w:rPr>
              <w:t>Kısa süreli bakım uzatması kullanarak bakım gerçekleştirilen hava aracının bir sonraki bakım takvimi, uzatma  periyodu  eklenerek hesaplanmamalı ve bakım uzatma yapılmadan önceki programa göre</w:t>
            </w:r>
            <w:r>
              <w:rPr>
                <w:spacing w:val="2"/>
                <w:sz w:val="22"/>
              </w:rPr>
              <w:t> </w:t>
            </w:r>
            <w:r>
              <w:rPr>
                <w:sz w:val="22"/>
              </w:rPr>
              <w:t>uygulanmalıdır.</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r>
        <w:trPr>
          <w:trHeight w:val="10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
              <w:rPr>
                <w:sz w:val="35"/>
              </w:rPr>
            </w:pPr>
          </w:p>
          <w:p>
            <w:pPr>
              <w:pStyle w:val="TableParagraph"/>
              <w:ind w:left="369" w:right="369"/>
              <w:jc w:val="center"/>
              <w:rPr>
                <w:sz w:val="22"/>
              </w:rPr>
            </w:pPr>
            <w:r>
              <w:rPr>
                <w:w w:val="95"/>
                <w:sz w:val="22"/>
              </w:rPr>
              <w:t>AAD-2</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8"/>
              <w:jc w:val="both"/>
              <w:rPr>
                <w:sz w:val="22"/>
              </w:rPr>
            </w:pPr>
            <w:r>
              <w:rPr>
                <w:sz w:val="22"/>
              </w:rPr>
              <w:t>Bakım periyodu uzatma talebi için söz konusu uzatma ihtiyacının olağandışı gelişmeler sonucu oluştuğu  ispatlanmalıdır.  Yapılacak  bu  uzatma bir</w:t>
            </w:r>
          </w:p>
          <w:p>
            <w:pPr>
              <w:pStyle w:val="TableParagraph"/>
              <w:spacing w:line="246" w:lineRule="exact" w:before="1"/>
              <w:ind w:left="64"/>
              <w:jc w:val="both"/>
              <w:rPr>
                <w:sz w:val="22"/>
              </w:rPr>
            </w:pPr>
            <w:r>
              <w:rPr>
                <w:sz w:val="22"/>
              </w:rPr>
              <w:t>bakım planlama aracı olarak anlaşılmamalıdır.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280" w:hRule="atLeast"/>
        </w:trPr>
        <w:tc>
          <w:tcPr>
            <w:tcW w:w="16018" w:type="dxa"/>
            <w:gridSpan w:val="10"/>
            <w:tcBorders>
              <w:top w:val="single" w:sz="4" w:space="0" w:color="3366FF"/>
              <w:left w:val="single" w:sz="4" w:space="0" w:color="3366FF"/>
              <w:bottom w:val="single" w:sz="4" w:space="0" w:color="3366FF"/>
              <w:right w:val="single" w:sz="4" w:space="0" w:color="3366FF"/>
            </w:tcBorders>
            <w:shd w:val="clear" w:color="auto" w:fill="FFC000"/>
          </w:tcPr>
          <w:p>
            <w:pPr>
              <w:pStyle w:val="TableParagraph"/>
              <w:spacing w:before="11"/>
              <w:ind w:left="64"/>
              <w:rPr>
                <w:sz w:val="22"/>
              </w:rPr>
            </w:pPr>
            <w:r>
              <w:rPr>
                <w:w w:val="95"/>
                <w:sz w:val="22"/>
              </w:rPr>
              <w:t>CAO.A.080 Sürekli uçuşa elverişlilik verileri</w:t>
            </w:r>
          </w:p>
        </w:tc>
      </w:tr>
      <w:tr>
        <w:trPr>
          <w:trHeight w:val="37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4"/>
              <w:rPr>
                <w:sz w:val="32"/>
              </w:rPr>
            </w:pPr>
          </w:p>
          <w:p>
            <w:pPr>
              <w:pStyle w:val="TableParagraph"/>
              <w:spacing w:before="1"/>
              <w:ind w:left="369" w:right="370"/>
              <w:jc w:val="center"/>
              <w:rPr>
                <w:sz w:val="22"/>
              </w:rPr>
            </w:pPr>
            <w:r>
              <w:rPr>
                <w:sz w:val="22"/>
              </w:rPr>
              <w:t>17</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4"/>
              <w:rPr>
                <w:sz w:val="32"/>
              </w:rPr>
            </w:pPr>
          </w:p>
          <w:p>
            <w:pPr>
              <w:pStyle w:val="TableParagraph"/>
              <w:spacing w:before="1"/>
              <w:ind w:left="64"/>
              <w:rPr>
                <w:sz w:val="22"/>
              </w:rPr>
            </w:pPr>
            <w:r>
              <w:rPr>
                <w:sz w:val="22"/>
              </w:rPr>
              <w:t>CAO.A.080</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spacing w:before="7"/>
              <w:rPr>
                <w:sz w:val="33"/>
              </w:rPr>
            </w:pPr>
          </w:p>
          <w:p>
            <w:pPr>
              <w:pStyle w:val="TableParagraph"/>
              <w:spacing w:line="254" w:lineRule="auto" w:before="1"/>
              <w:ind w:left="64" w:right="93"/>
              <w:rPr>
                <w:sz w:val="22"/>
              </w:rPr>
            </w:pPr>
            <w:r>
              <w:rPr>
                <w:sz w:val="22"/>
              </w:rPr>
              <w:t>CAO, CAO.A.075 maddesinde belirtilen sürekli uçuşa elverişlilik görevlerinin yerine getirilmesi için geçerli olduğu şekliyle M.A.401 veya ML.A.401 maddesinde belirtilen güncel ve geçerli bakım verilerine sahip olur ve kullanır.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spacing w:before="3"/>
              <w:ind w:left="69"/>
              <w:jc w:val="both"/>
              <w:rPr>
                <w:sz w:val="22"/>
              </w:rPr>
            </w:pPr>
            <w:r>
              <w:rPr>
                <w:color w:val="FFFFFF"/>
                <w:sz w:val="22"/>
              </w:rPr>
              <w:t>Bu  veriler,  geçerli  olduğu  şekliyle  M.A.201  (h.2),</w:t>
            </w:r>
          </w:p>
          <w:p>
            <w:pPr>
              <w:pStyle w:val="TableParagraph"/>
              <w:spacing w:line="254" w:lineRule="auto" w:before="15"/>
              <w:ind w:left="69" w:right="65"/>
              <w:jc w:val="both"/>
              <w:rPr>
                <w:sz w:val="22"/>
              </w:rPr>
            </w:pPr>
            <w:r>
              <w:rPr>
                <w:color w:val="FFFFFF"/>
                <w:sz w:val="22"/>
              </w:rPr>
              <w:t>M.A.201 (i.1) veya M.A.201 (i.3) maddeleri ya da ML.A.201 (e.1) veya ML.A.201 (f) maddeleri kapsamında yapılan bir sözleşmede belirtilmesi halinde hava aracı tarafından sağlanabilir. Bu durumda CAO, bu veriler CAO.A.090 (b) kapsamında tutulması gereken kayıtlardan değilse, sadece söz konusu sözleşmenin geçerli olduğu sürece  tutar.</w:t>
            </w:r>
          </w:p>
        </w:tc>
      </w:tr>
      <w:tr>
        <w:trPr>
          <w:trHeight w:val="280" w:hRule="atLeast"/>
        </w:trPr>
        <w:tc>
          <w:tcPr>
            <w:tcW w:w="16018" w:type="dxa"/>
            <w:gridSpan w:val="10"/>
            <w:tcBorders>
              <w:top w:val="single" w:sz="4" w:space="0" w:color="3366FF"/>
              <w:left w:val="single" w:sz="4" w:space="0" w:color="3366FF"/>
              <w:bottom w:val="single" w:sz="4" w:space="0" w:color="3366FF"/>
              <w:right w:val="single" w:sz="4" w:space="0" w:color="3366FF"/>
            </w:tcBorders>
            <w:shd w:val="clear" w:color="auto" w:fill="FFC000"/>
          </w:tcPr>
          <w:p>
            <w:pPr>
              <w:pStyle w:val="TableParagraph"/>
              <w:spacing w:before="11"/>
              <w:ind w:left="64"/>
              <w:rPr>
                <w:sz w:val="22"/>
              </w:rPr>
            </w:pPr>
            <w:r>
              <w:rPr>
                <w:w w:val="95"/>
                <w:sz w:val="22"/>
              </w:rPr>
              <w:t>CAO.A.085 Uçuşa elverişlilik gözden geçirme</w:t>
            </w:r>
          </w:p>
        </w:tc>
      </w:tr>
      <w:tr>
        <w:trPr>
          <w:trHeight w:val="8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4"/>
              <w:rPr>
                <w:sz w:val="26"/>
              </w:rPr>
            </w:pPr>
          </w:p>
          <w:p>
            <w:pPr>
              <w:pStyle w:val="TableParagraph"/>
              <w:ind w:left="369" w:right="370"/>
              <w:jc w:val="center"/>
              <w:rPr>
                <w:sz w:val="22"/>
              </w:rPr>
            </w:pPr>
            <w:r>
              <w:rPr>
                <w:sz w:val="22"/>
              </w:rPr>
              <w:t>18</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4"/>
              <w:rPr>
                <w:sz w:val="26"/>
              </w:rPr>
            </w:pPr>
          </w:p>
          <w:p>
            <w:pPr>
              <w:pStyle w:val="TableParagraph"/>
              <w:ind w:left="64"/>
              <w:rPr>
                <w:sz w:val="22"/>
              </w:rPr>
            </w:pPr>
            <w:r>
              <w:rPr>
                <w:sz w:val="22"/>
              </w:rPr>
              <w:t>CAO.A.085</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34"/>
              <w:ind w:left="64" w:right="59"/>
              <w:jc w:val="both"/>
              <w:rPr>
                <w:sz w:val="22"/>
              </w:rPr>
            </w:pPr>
            <w:r>
              <w:rPr>
                <w:sz w:val="22"/>
              </w:rPr>
              <w:t>CAO uçuşa elverişlilik gözden geçirme işlemlerini uygun olduğu şekli ile M.A.901 veya ML.A.903 gerekliliklerine uygun şekilde gerçekleştirir.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bl>
    <w:p>
      <w:pPr>
        <w:spacing w:after="0"/>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spacing w:before="7"/>
        <w:rPr>
          <w:sz w:val="27"/>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188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2"/>
              <w:rPr>
                <w:sz w:val="22"/>
              </w:rPr>
            </w:pPr>
          </w:p>
          <w:p>
            <w:pPr>
              <w:pStyle w:val="TableParagraph"/>
              <w:ind w:left="369" w:right="369"/>
              <w:jc w:val="center"/>
              <w:rPr>
                <w:sz w:val="22"/>
              </w:rPr>
            </w:pPr>
            <w:r>
              <w:rPr>
                <w:w w:val="95"/>
                <w:sz w:val="22"/>
              </w:rPr>
              <w:t>AAD-1</w:t>
            </w:r>
          </w:p>
        </w:tc>
        <w:tc>
          <w:tcPr>
            <w:tcW w:w="1843" w:type="dxa"/>
            <w:tcBorders>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2"/>
              <w:rPr>
                <w:sz w:val="22"/>
              </w:rPr>
            </w:pPr>
          </w:p>
          <w:p>
            <w:pPr>
              <w:pStyle w:val="TableParagraph"/>
              <w:ind w:left="63"/>
              <w:rPr>
                <w:sz w:val="22"/>
              </w:rPr>
            </w:pPr>
            <w:r>
              <w:rPr>
                <w:w w:val="95"/>
                <w:sz w:val="22"/>
              </w:rPr>
              <w:t>ML.A.903 (a)</w:t>
            </w:r>
          </w:p>
        </w:tc>
        <w:tc>
          <w:tcPr>
            <w:tcW w:w="4800" w:type="dxa"/>
            <w:tcBorders>
              <w:left w:val="single" w:sz="4" w:space="0" w:color="3366FF"/>
              <w:bottom w:val="single" w:sz="4" w:space="0" w:color="3366FF"/>
              <w:right w:val="single" w:sz="4" w:space="0" w:color="3366FF"/>
            </w:tcBorders>
          </w:tcPr>
          <w:p>
            <w:pPr>
              <w:pStyle w:val="TableParagraph"/>
              <w:tabs>
                <w:tab w:pos="1936" w:val="left" w:leader="none"/>
                <w:tab w:pos="4212" w:val="left" w:leader="none"/>
              </w:tabs>
              <w:spacing w:line="254" w:lineRule="auto" w:before="1"/>
              <w:ind w:left="64" w:right="58"/>
              <w:jc w:val="both"/>
              <w:rPr>
                <w:sz w:val="22"/>
              </w:rPr>
            </w:pPr>
            <w:r>
              <w:rPr>
                <w:sz w:val="22"/>
              </w:rPr>
              <w:t>ML.A.901'de vurgulanan hava aracının uçuşa elverişlilik gözden geçirme işlemi, aşağıdakilerin yerine getirildiğini belgeleyen dokümante edilmiş tüm kayıtların ARS tarafından gözden geçirilmesini, tetkik</w:t>
              <w:tab/>
              <w:t>edilmesini</w:t>
              <w:tab/>
            </w:r>
            <w:r>
              <w:rPr>
                <w:w w:val="95"/>
                <w:sz w:val="22"/>
              </w:rPr>
              <w:t>içerir: </w:t>
            </w:r>
            <w:r>
              <w:rPr>
                <w:sz w:val="22"/>
              </w:rPr>
              <w:t>1.) Gövde, motor ve pervane  uçuş  saatleri </w:t>
            </w:r>
            <w:r>
              <w:rPr>
                <w:spacing w:val="27"/>
                <w:sz w:val="22"/>
              </w:rPr>
              <w:t> </w:t>
            </w:r>
            <w:r>
              <w:rPr>
                <w:sz w:val="22"/>
              </w:rPr>
              <w:t>ve  uçuş</w:t>
            </w:r>
          </w:p>
          <w:p>
            <w:pPr>
              <w:pStyle w:val="TableParagraph"/>
              <w:spacing w:line="248" w:lineRule="exact" w:before="1"/>
              <w:ind w:left="64"/>
              <w:jc w:val="both"/>
              <w:rPr>
                <w:sz w:val="22"/>
              </w:rPr>
            </w:pPr>
            <w:r>
              <w:rPr>
                <w:sz w:val="22"/>
              </w:rPr>
              <w:t>sayılarının uygun şekilde kaydedilmiş olması,</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r>
        <w:trPr>
          <w:trHeight w:val="80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5"/>
              <w:rPr>
                <w:sz w:val="23"/>
              </w:rPr>
            </w:pPr>
          </w:p>
          <w:p>
            <w:pPr>
              <w:pStyle w:val="TableParagraph"/>
              <w:ind w:left="369" w:right="369"/>
              <w:jc w:val="center"/>
              <w:rPr>
                <w:sz w:val="22"/>
              </w:rPr>
            </w:pPr>
            <w:r>
              <w:rPr>
                <w:w w:val="95"/>
                <w:sz w:val="22"/>
              </w:rPr>
              <w:t>AAD-2</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5"/>
              <w:rPr>
                <w:sz w:val="23"/>
              </w:rPr>
            </w:pPr>
          </w:p>
          <w:p>
            <w:pPr>
              <w:pStyle w:val="TableParagraph"/>
              <w:ind w:left="63"/>
              <w:rPr>
                <w:sz w:val="22"/>
              </w:rPr>
            </w:pPr>
            <w:r>
              <w:rPr>
                <w:w w:val="95"/>
                <w:sz w:val="22"/>
              </w:rPr>
              <w:t>ML.A.903 (a)</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9"/>
              <w:rPr>
                <w:sz w:val="22"/>
              </w:rPr>
            </w:pPr>
            <w:r>
              <w:rPr>
                <w:sz w:val="22"/>
              </w:rPr>
              <w:t>Uçuş el kitabının hava aracının konfigürasyonu için geçerli olması ve son  revizyonunun  güncel durumu</w:t>
            </w:r>
          </w:p>
          <w:p>
            <w:pPr>
              <w:pStyle w:val="TableParagraph"/>
              <w:spacing w:line="245" w:lineRule="exact" w:before="1"/>
              <w:ind w:left="64"/>
              <w:rPr>
                <w:sz w:val="22"/>
              </w:rPr>
            </w:pPr>
            <w:r>
              <w:rPr>
                <w:sz w:val="22"/>
              </w:rPr>
              <w:t>yansıtması,</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80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7"/>
              <w:rPr>
                <w:sz w:val="23"/>
              </w:rPr>
            </w:pPr>
          </w:p>
          <w:p>
            <w:pPr>
              <w:pStyle w:val="TableParagraph"/>
              <w:ind w:left="369" w:right="369"/>
              <w:jc w:val="center"/>
              <w:rPr>
                <w:sz w:val="22"/>
              </w:rPr>
            </w:pPr>
            <w:r>
              <w:rPr>
                <w:w w:val="95"/>
                <w:sz w:val="22"/>
              </w:rPr>
              <w:t>AAD-3</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7"/>
              <w:rPr>
                <w:sz w:val="23"/>
              </w:rPr>
            </w:pPr>
          </w:p>
          <w:p>
            <w:pPr>
              <w:pStyle w:val="TableParagraph"/>
              <w:ind w:left="63"/>
              <w:rPr>
                <w:sz w:val="22"/>
              </w:rPr>
            </w:pPr>
            <w:r>
              <w:rPr>
                <w:w w:val="95"/>
                <w:sz w:val="22"/>
              </w:rPr>
              <w:t>ML.A.903 (a)</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before="3"/>
              <w:ind w:left="64"/>
              <w:rPr>
                <w:sz w:val="22"/>
              </w:rPr>
            </w:pPr>
            <w:r>
              <w:rPr>
                <w:sz w:val="22"/>
              </w:rPr>
              <w:t>Hava    aracında    yapılması    gereken    tüm  bakım</w:t>
            </w:r>
          </w:p>
          <w:p>
            <w:pPr>
              <w:pStyle w:val="TableParagraph"/>
              <w:spacing w:line="260" w:lineRule="atLeast" w:before="8"/>
              <w:ind w:left="64" w:right="59"/>
              <w:rPr>
                <w:sz w:val="22"/>
              </w:rPr>
            </w:pPr>
            <w:r>
              <w:rPr>
                <w:sz w:val="22"/>
              </w:rPr>
              <w:t>işlemlerinin, onaylı bakım programına uygun olarak gerçekleştirilmesi,</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80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5"/>
              <w:rPr>
                <w:sz w:val="23"/>
              </w:rPr>
            </w:pPr>
          </w:p>
          <w:p>
            <w:pPr>
              <w:pStyle w:val="TableParagraph"/>
              <w:ind w:left="369" w:right="369"/>
              <w:jc w:val="center"/>
              <w:rPr>
                <w:sz w:val="22"/>
              </w:rPr>
            </w:pPr>
            <w:r>
              <w:rPr>
                <w:w w:val="95"/>
                <w:sz w:val="22"/>
              </w:rPr>
              <w:t>AAD-4</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5"/>
              <w:rPr>
                <w:sz w:val="23"/>
              </w:rPr>
            </w:pPr>
          </w:p>
          <w:p>
            <w:pPr>
              <w:pStyle w:val="TableParagraph"/>
              <w:ind w:left="63"/>
              <w:rPr>
                <w:sz w:val="22"/>
              </w:rPr>
            </w:pPr>
            <w:r>
              <w:rPr>
                <w:w w:val="95"/>
                <w:sz w:val="22"/>
              </w:rPr>
              <w:t>ML.A.903 (a)</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before="1"/>
              <w:ind w:left="64"/>
              <w:rPr>
                <w:sz w:val="22"/>
              </w:rPr>
            </w:pPr>
            <w:r>
              <w:rPr>
                <w:sz w:val="22"/>
              </w:rPr>
              <w:t>Bilinen   bütün   arızaların   giderilmiş   olması  veya</w:t>
            </w:r>
          </w:p>
          <w:p>
            <w:pPr>
              <w:pStyle w:val="TableParagraph"/>
              <w:spacing w:line="270" w:lineRule="atLeast"/>
              <w:ind w:left="64" w:right="54"/>
              <w:rPr>
                <w:sz w:val="22"/>
              </w:rPr>
            </w:pPr>
            <w:r>
              <w:rPr>
                <w:sz w:val="22"/>
              </w:rPr>
              <w:t>mümkünse</w:t>
            </w:r>
            <w:r>
              <w:rPr>
                <w:spacing w:val="-14"/>
                <w:sz w:val="22"/>
              </w:rPr>
              <w:t> </w:t>
            </w:r>
            <w:r>
              <w:rPr>
                <w:sz w:val="22"/>
              </w:rPr>
              <w:t>kontrollü</w:t>
            </w:r>
            <w:r>
              <w:rPr>
                <w:spacing w:val="-16"/>
                <w:sz w:val="22"/>
              </w:rPr>
              <w:t> </w:t>
            </w:r>
            <w:r>
              <w:rPr>
                <w:sz w:val="22"/>
              </w:rPr>
              <w:t>bir</w:t>
            </w:r>
            <w:r>
              <w:rPr>
                <w:spacing w:val="-17"/>
                <w:sz w:val="22"/>
              </w:rPr>
              <w:t> </w:t>
            </w:r>
            <w:r>
              <w:rPr>
                <w:sz w:val="22"/>
              </w:rPr>
              <w:t>şekilde</w:t>
            </w:r>
            <w:r>
              <w:rPr>
                <w:spacing w:val="-14"/>
                <w:sz w:val="22"/>
              </w:rPr>
              <w:t> </w:t>
            </w:r>
            <w:r>
              <w:rPr>
                <w:sz w:val="22"/>
              </w:rPr>
              <w:t>ileriye</w:t>
            </w:r>
            <w:r>
              <w:rPr>
                <w:spacing w:val="-14"/>
                <w:sz w:val="22"/>
              </w:rPr>
              <w:t> </w:t>
            </w:r>
            <w:r>
              <w:rPr>
                <w:sz w:val="22"/>
              </w:rPr>
              <w:t>yönelik</w:t>
            </w:r>
            <w:r>
              <w:rPr>
                <w:spacing w:val="-15"/>
                <w:sz w:val="22"/>
              </w:rPr>
              <w:t> </w:t>
            </w:r>
            <w:r>
              <w:rPr>
                <w:sz w:val="22"/>
              </w:rPr>
              <w:t>olarak ertelenmesi,</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80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5"/>
              <w:rPr>
                <w:sz w:val="23"/>
              </w:rPr>
            </w:pPr>
          </w:p>
          <w:p>
            <w:pPr>
              <w:pStyle w:val="TableParagraph"/>
              <w:ind w:left="369" w:right="369"/>
              <w:jc w:val="center"/>
              <w:rPr>
                <w:sz w:val="22"/>
              </w:rPr>
            </w:pPr>
            <w:r>
              <w:rPr>
                <w:w w:val="95"/>
                <w:sz w:val="22"/>
              </w:rPr>
              <w:t>AAD-5</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5"/>
              <w:rPr>
                <w:sz w:val="23"/>
              </w:rPr>
            </w:pPr>
          </w:p>
          <w:p>
            <w:pPr>
              <w:pStyle w:val="TableParagraph"/>
              <w:ind w:left="63"/>
              <w:rPr>
                <w:sz w:val="22"/>
              </w:rPr>
            </w:pPr>
            <w:r>
              <w:rPr>
                <w:w w:val="95"/>
                <w:sz w:val="22"/>
              </w:rPr>
              <w:t>ML.A.903 (a)</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3"/>
              <w:rPr>
                <w:sz w:val="22"/>
              </w:rPr>
            </w:pPr>
            <w:r>
              <w:rPr>
                <w:sz w:val="22"/>
              </w:rPr>
              <w:t>Geçerli</w:t>
            </w:r>
            <w:r>
              <w:rPr>
                <w:spacing w:val="-22"/>
                <w:sz w:val="22"/>
              </w:rPr>
              <w:t> </w:t>
            </w:r>
            <w:r>
              <w:rPr>
                <w:sz w:val="22"/>
              </w:rPr>
              <w:t>uçuşa</w:t>
            </w:r>
            <w:r>
              <w:rPr>
                <w:spacing w:val="-23"/>
                <w:sz w:val="22"/>
              </w:rPr>
              <w:t> </w:t>
            </w:r>
            <w:r>
              <w:rPr>
                <w:sz w:val="22"/>
              </w:rPr>
              <w:t>elverişlilik</w:t>
            </w:r>
            <w:r>
              <w:rPr>
                <w:spacing w:val="-20"/>
                <w:sz w:val="22"/>
              </w:rPr>
              <w:t> </w:t>
            </w:r>
            <w:r>
              <w:rPr>
                <w:sz w:val="22"/>
              </w:rPr>
              <w:t>direktiflerinin</w:t>
            </w:r>
            <w:r>
              <w:rPr>
                <w:spacing w:val="-20"/>
                <w:sz w:val="22"/>
              </w:rPr>
              <w:t> </w:t>
            </w:r>
            <w:r>
              <w:rPr>
                <w:sz w:val="22"/>
              </w:rPr>
              <w:t>uygun</w:t>
            </w:r>
            <w:r>
              <w:rPr>
                <w:spacing w:val="-22"/>
                <w:sz w:val="22"/>
              </w:rPr>
              <w:t> </w:t>
            </w:r>
            <w:r>
              <w:rPr>
                <w:sz w:val="22"/>
              </w:rPr>
              <w:t>şekilde kayıt  altına  alınmış  ve  uygulama </w:t>
            </w:r>
            <w:r>
              <w:rPr>
                <w:spacing w:val="31"/>
                <w:sz w:val="22"/>
              </w:rPr>
              <w:t> </w:t>
            </w:r>
            <w:r>
              <w:rPr>
                <w:sz w:val="22"/>
              </w:rPr>
              <w:t>gerekliliklerinin</w:t>
            </w:r>
          </w:p>
          <w:p>
            <w:pPr>
              <w:pStyle w:val="TableParagraph"/>
              <w:spacing w:line="248" w:lineRule="exact" w:before="1"/>
              <w:ind w:left="64"/>
              <w:rPr>
                <w:sz w:val="22"/>
              </w:rPr>
            </w:pPr>
            <w:r>
              <w:rPr>
                <w:sz w:val="22"/>
              </w:rPr>
              <w:t>sağlanmış olm</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10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
              <w:rPr>
                <w:sz w:val="35"/>
              </w:rPr>
            </w:pPr>
          </w:p>
          <w:p>
            <w:pPr>
              <w:pStyle w:val="TableParagraph"/>
              <w:ind w:left="369" w:right="369"/>
              <w:jc w:val="center"/>
              <w:rPr>
                <w:sz w:val="22"/>
              </w:rPr>
            </w:pPr>
            <w:r>
              <w:rPr>
                <w:w w:val="95"/>
                <w:sz w:val="22"/>
              </w:rPr>
              <w:t>AAD-6</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1"/>
              <w:rPr>
                <w:sz w:val="35"/>
              </w:rPr>
            </w:pPr>
          </w:p>
          <w:p>
            <w:pPr>
              <w:pStyle w:val="TableParagraph"/>
              <w:ind w:left="63"/>
              <w:rPr>
                <w:sz w:val="22"/>
              </w:rPr>
            </w:pPr>
            <w:r>
              <w:rPr>
                <w:w w:val="95"/>
                <w:sz w:val="22"/>
              </w:rPr>
              <w:t>ML.A.903 (a)</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8"/>
              <w:jc w:val="both"/>
              <w:rPr>
                <w:sz w:val="22"/>
              </w:rPr>
            </w:pPr>
            <w:r>
              <w:rPr>
                <w:sz w:val="22"/>
              </w:rPr>
              <w:t>Hava aracına uygulanmış tüm modifikasyonların ve tamirlerin, SHT-21 Talimatına (veya EASA Part-21 veya Part-21 Light) uygun şekilde yapılmış  ve kayıt</w:t>
            </w:r>
          </w:p>
          <w:p>
            <w:pPr>
              <w:pStyle w:val="TableParagraph"/>
              <w:spacing w:line="248" w:lineRule="exact" w:before="1"/>
              <w:ind w:left="64"/>
              <w:jc w:val="both"/>
              <w:rPr>
                <w:sz w:val="22"/>
              </w:rPr>
            </w:pPr>
            <w:r>
              <w:rPr>
                <w:sz w:val="22"/>
              </w:rPr>
              <w:t>altına alınmış olması,</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10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
              <w:rPr>
                <w:sz w:val="35"/>
              </w:rPr>
            </w:pPr>
          </w:p>
          <w:p>
            <w:pPr>
              <w:pStyle w:val="TableParagraph"/>
              <w:ind w:left="369" w:right="369"/>
              <w:jc w:val="center"/>
              <w:rPr>
                <w:sz w:val="22"/>
              </w:rPr>
            </w:pPr>
            <w:r>
              <w:rPr>
                <w:w w:val="95"/>
                <w:sz w:val="22"/>
              </w:rPr>
              <w:t>AAD-7</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1"/>
              <w:rPr>
                <w:sz w:val="35"/>
              </w:rPr>
            </w:pPr>
          </w:p>
          <w:p>
            <w:pPr>
              <w:pStyle w:val="TableParagraph"/>
              <w:ind w:left="63"/>
              <w:rPr>
                <w:sz w:val="22"/>
              </w:rPr>
            </w:pPr>
            <w:r>
              <w:rPr>
                <w:w w:val="95"/>
                <w:sz w:val="22"/>
              </w:rPr>
              <w:t>ML.A.903 (a)</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9"/>
              <w:jc w:val="both"/>
              <w:rPr>
                <w:sz w:val="22"/>
              </w:rPr>
            </w:pPr>
            <w:r>
              <w:rPr>
                <w:w w:val="105"/>
                <w:sz w:val="22"/>
              </w:rPr>
              <w:t>Hava aracına takılmış tüm ömürlü</w:t>
            </w:r>
            <w:r>
              <w:rPr>
                <w:spacing w:val="-21"/>
                <w:w w:val="105"/>
                <w:sz w:val="22"/>
              </w:rPr>
              <w:t> </w:t>
            </w:r>
            <w:r>
              <w:rPr>
                <w:w w:val="105"/>
                <w:sz w:val="22"/>
              </w:rPr>
              <w:t>komponentlerin uygun şekilde tanımlanmış, kayıt altına alınmış ve beyan</w:t>
            </w:r>
            <w:r>
              <w:rPr>
                <w:spacing w:val="-31"/>
                <w:w w:val="105"/>
                <w:sz w:val="22"/>
              </w:rPr>
              <w:t> </w:t>
            </w:r>
            <w:r>
              <w:rPr>
                <w:w w:val="105"/>
                <w:sz w:val="22"/>
              </w:rPr>
              <w:t>edilen,</w:t>
            </w:r>
            <w:r>
              <w:rPr>
                <w:spacing w:val="-30"/>
                <w:w w:val="105"/>
                <w:sz w:val="22"/>
              </w:rPr>
              <w:t> </w:t>
            </w:r>
            <w:r>
              <w:rPr>
                <w:w w:val="105"/>
                <w:sz w:val="22"/>
              </w:rPr>
              <w:t>onaylı</w:t>
            </w:r>
            <w:r>
              <w:rPr>
                <w:spacing w:val="-31"/>
                <w:w w:val="105"/>
                <w:sz w:val="22"/>
              </w:rPr>
              <w:t> </w:t>
            </w:r>
            <w:r>
              <w:rPr>
                <w:w w:val="105"/>
                <w:sz w:val="22"/>
              </w:rPr>
              <w:t>servis</w:t>
            </w:r>
            <w:r>
              <w:rPr>
                <w:spacing w:val="-31"/>
                <w:w w:val="105"/>
                <w:sz w:val="22"/>
              </w:rPr>
              <w:t> </w:t>
            </w:r>
            <w:r>
              <w:rPr>
                <w:w w:val="105"/>
                <w:sz w:val="22"/>
              </w:rPr>
              <w:t>ömrü</w:t>
            </w:r>
            <w:r>
              <w:rPr>
                <w:spacing w:val="-31"/>
                <w:w w:val="105"/>
                <w:sz w:val="22"/>
              </w:rPr>
              <w:t> </w:t>
            </w:r>
            <w:r>
              <w:rPr>
                <w:w w:val="105"/>
                <w:sz w:val="22"/>
              </w:rPr>
              <w:t>sınırlarını</w:t>
            </w:r>
            <w:r>
              <w:rPr>
                <w:spacing w:val="-29"/>
                <w:w w:val="105"/>
                <w:sz w:val="22"/>
              </w:rPr>
              <w:t> </w:t>
            </w:r>
            <w:r>
              <w:rPr>
                <w:w w:val="105"/>
                <w:sz w:val="22"/>
              </w:rPr>
              <w:t>aşmamış</w:t>
            </w:r>
          </w:p>
          <w:p>
            <w:pPr>
              <w:pStyle w:val="TableParagraph"/>
              <w:spacing w:line="248" w:lineRule="exact" w:before="1"/>
              <w:ind w:left="64"/>
              <w:jc w:val="both"/>
              <w:rPr>
                <w:sz w:val="22"/>
              </w:rPr>
            </w:pPr>
            <w:r>
              <w:rPr>
                <w:sz w:val="22"/>
              </w:rPr>
              <w:t>olması,</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5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57"/>
              <w:ind w:left="369" w:right="369"/>
              <w:jc w:val="center"/>
              <w:rPr>
                <w:sz w:val="22"/>
              </w:rPr>
            </w:pPr>
            <w:r>
              <w:rPr>
                <w:w w:val="95"/>
                <w:sz w:val="22"/>
              </w:rPr>
              <w:t>AAD-8</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157"/>
              <w:ind w:left="63"/>
              <w:rPr>
                <w:sz w:val="22"/>
              </w:rPr>
            </w:pPr>
            <w:r>
              <w:rPr>
                <w:w w:val="95"/>
                <w:sz w:val="22"/>
              </w:rPr>
              <w:t>ML.A.903 (a)</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22"/>
              <w:ind w:left="64" w:right="-11"/>
              <w:rPr>
                <w:sz w:val="22"/>
              </w:rPr>
            </w:pPr>
            <w:r>
              <w:rPr>
                <w:sz w:val="22"/>
              </w:rPr>
              <w:t>Tüm bakımlara ait servise verme sertifikasının (CRS) bu Talimata uygun olarak yayınlanlması,</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bl>
    <w:p>
      <w:pPr>
        <w:spacing w:after="0"/>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spacing w:before="8"/>
        <w:rPr>
          <w:sz w:val="10"/>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800" w:hRule="atLeast"/>
        </w:trPr>
        <w:tc>
          <w:tcPr>
            <w:tcW w:w="1560" w:type="dxa"/>
            <w:tcBorders>
              <w:left w:val="single" w:sz="4" w:space="0" w:color="3366FF"/>
              <w:bottom w:val="single" w:sz="4" w:space="0" w:color="3366FF"/>
              <w:right w:val="single" w:sz="4" w:space="0" w:color="3366FF"/>
            </w:tcBorders>
          </w:tcPr>
          <w:p>
            <w:pPr>
              <w:pStyle w:val="TableParagraph"/>
              <w:spacing w:before="5"/>
              <w:rPr>
                <w:sz w:val="23"/>
              </w:rPr>
            </w:pPr>
          </w:p>
          <w:p>
            <w:pPr>
              <w:pStyle w:val="TableParagraph"/>
              <w:ind w:left="369" w:right="369"/>
              <w:jc w:val="center"/>
              <w:rPr>
                <w:sz w:val="22"/>
              </w:rPr>
            </w:pPr>
            <w:r>
              <w:rPr>
                <w:w w:val="95"/>
                <w:sz w:val="22"/>
              </w:rPr>
              <w:t>AAD-9</w:t>
            </w:r>
          </w:p>
        </w:tc>
        <w:tc>
          <w:tcPr>
            <w:tcW w:w="1843" w:type="dxa"/>
            <w:tcBorders>
              <w:left w:val="single" w:sz="4" w:space="0" w:color="3366FF"/>
              <w:bottom w:val="single" w:sz="4" w:space="0" w:color="3366FF"/>
              <w:right w:val="single" w:sz="4" w:space="0" w:color="3366FF"/>
            </w:tcBorders>
          </w:tcPr>
          <w:p>
            <w:pPr>
              <w:pStyle w:val="TableParagraph"/>
              <w:spacing w:before="5"/>
              <w:rPr>
                <w:sz w:val="23"/>
              </w:rPr>
            </w:pPr>
          </w:p>
          <w:p>
            <w:pPr>
              <w:pStyle w:val="TableParagraph"/>
              <w:ind w:left="63"/>
              <w:rPr>
                <w:sz w:val="22"/>
              </w:rPr>
            </w:pPr>
            <w:r>
              <w:rPr>
                <w:w w:val="95"/>
                <w:sz w:val="22"/>
              </w:rPr>
              <w:t>ML.A.903 (a)</w:t>
            </w:r>
          </w:p>
        </w:tc>
        <w:tc>
          <w:tcPr>
            <w:tcW w:w="4800" w:type="dxa"/>
            <w:tcBorders>
              <w:left w:val="single" w:sz="4" w:space="0" w:color="3366FF"/>
              <w:bottom w:val="single" w:sz="4" w:space="0" w:color="3366FF"/>
              <w:right w:val="single" w:sz="4" w:space="0" w:color="3366FF"/>
            </w:tcBorders>
          </w:tcPr>
          <w:p>
            <w:pPr>
              <w:pStyle w:val="TableParagraph"/>
              <w:spacing w:line="254" w:lineRule="auto" w:before="1"/>
              <w:ind w:left="64" w:right="59"/>
              <w:rPr>
                <w:sz w:val="22"/>
              </w:rPr>
            </w:pPr>
            <w:r>
              <w:rPr>
                <w:sz w:val="22"/>
              </w:rPr>
              <w:t>Güncel ağırlık ve denge raporunun hava aracının mevcut   konfigürasyonunu   yansıtması   ve  geçerli</w:t>
            </w:r>
          </w:p>
          <w:p>
            <w:pPr>
              <w:pStyle w:val="TableParagraph"/>
              <w:spacing w:line="248" w:lineRule="exact" w:before="1"/>
              <w:ind w:left="64"/>
              <w:rPr>
                <w:sz w:val="22"/>
              </w:rPr>
            </w:pPr>
            <w:r>
              <w:rPr>
                <w:sz w:val="22"/>
              </w:rPr>
              <w:t>olması,</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26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spacing w:before="3"/>
              <w:rPr>
                <w:sz w:val="33"/>
              </w:rPr>
            </w:pPr>
          </w:p>
          <w:p>
            <w:pPr>
              <w:pStyle w:val="TableParagraph"/>
              <w:ind w:left="369" w:right="370"/>
              <w:jc w:val="center"/>
              <w:rPr>
                <w:sz w:val="22"/>
              </w:rPr>
            </w:pPr>
            <w:r>
              <w:rPr>
                <w:sz w:val="22"/>
              </w:rPr>
              <w:t>AAD-10</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spacing w:before="3"/>
              <w:rPr>
                <w:sz w:val="33"/>
              </w:rPr>
            </w:pPr>
          </w:p>
          <w:p>
            <w:pPr>
              <w:pStyle w:val="TableParagraph"/>
              <w:ind w:left="63"/>
              <w:rPr>
                <w:sz w:val="22"/>
              </w:rPr>
            </w:pPr>
            <w:r>
              <w:rPr>
                <w:w w:val="95"/>
                <w:sz w:val="22"/>
              </w:rPr>
              <w:t>ML.A.903 (a)</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9"/>
              <w:jc w:val="both"/>
              <w:rPr>
                <w:sz w:val="22"/>
              </w:rPr>
            </w:pPr>
            <w:r>
              <w:rPr>
                <w:w w:val="95"/>
                <w:sz w:val="22"/>
              </w:rPr>
              <w:t>Hava aracının; EASA, FAA, TCCA, ANAC (Brezilya) </w:t>
            </w:r>
            <w:r>
              <w:rPr>
                <w:sz w:val="22"/>
              </w:rPr>
              <w:t>veya yapılan ikili anlaşmalar kapsamında Genel Müdürlükçe kabul edilen otoriteler ve</w:t>
            </w:r>
            <w:r>
              <w:rPr>
                <w:spacing w:val="-26"/>
                <w:sz w:val="22"/>
              </w:rPr>
              <w:t> </w:t>
            </w:r>
            <w:r>
              <w:rPr>
                <w:sz w:val="22"/>
              </w:rPr>
              <w:t>yetkilendirilen organizasyonlar tarafından yayınlanan tip sertifikasına/tasarımına uygun olması ya da Genel Müdürlük tarafından yapılacak değerlendirme sonrası, denkliği kabul edilen otorite tarafından yayınlanan tip sertifikasının/tasarımının son revizyonu   ile   hava   aracının   uyumlu </w:t>
            </w:r>
            <w:r>
              <w:rPr>
                <w:spacing w:val="41"/>
                <w:sz w:val="22"/>
              </w:rPr>
              <w:t> </w:t>
            </w:r>
            <w:r>
              <w:rPr>
                <w:sz w:val="22"/>
              </w:rPr>
              <w:t>olduğunun</w:t>
            </w:r>
          </w:p>
          <w:p>
            <w:pPr>
              <w:pStyle w:val="TableParagraph"/>
              <w:spacing w:line="246" w:lineRule="exact"/>
              <w:ind w:left="64"/>
              <w:jc w:val="both"/>
              <w:rPr>
                <w:sz w:val="22"/>
              </w:rPr>
            </w:pPr>
            <w:r>
              <w:rPr>
                <w:sz w:val="22"/>
              </w:rPr>
              <w:t>anlaşılması,</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13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9"/>
              <w:rPr>
                <w:sz w:val="22"/>
              </w:rPr>
            </w:pPr>
          </w:p>
          <w:p>
            <w:pPr>
              <w:pStyle w:val="TableParagraph"/>
              <w:ind w:left="369" w:right="370"/>
              <w:jc w:val="center"/>
              <w:rPr>
                <w:sz w:val="22"/>
              </w:rPr>
            </w:pPr>
            <w:r>
              <w:rPr>
                <w:sz w:val="22"/>
              </w:rPr>
              <w:t>AAD-11</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9"/>
              <w:rPr>
                <w:sz w:val="22"/>
              </w:rPr>
            </w:pPr>
          </w:p>
          <w:p>
            <w:pPr>
              <w:pStyle w:val="TableParagraph"/>
              <w:ind w:left="63"/>
              <w:rPr>
                <w:sz w:val="22"/>
              </w:rPr>
            </w:pPr>
            <w:r>
              <w:rPr>
                <w:w w:val="95"/>
                <w:sz w:val="22"/>
              </w:rPr>
              <w:t>ML.A.903 (a)</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tabs>
                <w:tab w:pos="1850" w:val="left" w:leader="none"/>
              </w:tabs>
              <w:spacing w:line="254" w:lineRule="auto" w:before="1"/>
              <w:ind w:left="64" w:right="58"/>
              <w:jc w:val="both"/>
              <w:rPr>
                <w:sz w:val="22"/>
              </w:rPr>
            </w:pPr>
            <w:r>
              <w:rPr>
                <w:sz w:val="22"/>
              </w:rPr>
              <w:t>Gerektiğinde,</w:t>
              <w:tab/>
              <w:t>hava         </w:t>
            </w:r>
            <w:r>
              <w:rPr>
                <w:spacing w:val="28"/>
                <w:sz w:val="22"/>
              </w:rPr>
              <w:t> </w:t>
            </w:r>
            <w:r>
              <w:rPr>
                <w:sz w:val="22"/>
              </w:rPr>
              <w:t>aracının         </w:t>
            </w:r>
            <w:r>
              <w:rPr>
                <w:spacing w:val="30"/>
                <w:sz w:val="22"/>
              </w:rPr>
              <w:t> </w:t>
            </w:r>
            <w:r>
              <w:rPr>
                <w:sz w:val="22"/>
              </w:rPr>
              <w:t>güncel</w:t>
            </w:r>
            <w:r>
              <w:rPr>
                <w:w w:val="82"/>
                <w:sz w:val="22"/>
              </w:rPr>
              <w:t> </w:t>
            </w:r>
            <w:r>
              <w:rPr>
                <w:sz w:val="22"/>
              </w:rPr>
              <w:t>konfigürasyonuna</w:t>
            </w:r>
            <w:r>
              <w:rPr>
                <w:spacing w:val="-20"/>
                <w:sz w:val="22"/>
              </w:rPr>
              <w:t> </w:t>
            </w:r>
            <w:r>
              <w:rPr>
                <w:sz w:val="22"/>
              </w:rPr>
              <w:t>karşılık</w:t>
            </w:r>
            <w:r>
              <w:rPr>
                <w:spacing w:val="-22"/>
                <w:sz w:val="22"/>
              </w:rPr>
              <w:t> </w:t>
            </w:r>
            <w:r>
              <w:rPr>
                <w:sz w:val="22"/>
              </w:rPr>
              <w:t>gelen</w:t>
            </w:r>
            <w:r>
              <w:rPr>
                <w:spacing w:val="-21"/>
                <w:sz w:val="22"/>
              </w:rPr>
              <w:t> </w:t>
            </w:r>
            <w:r>
              <w:rPr>
                <w:sz w:val="22"/>
              </w:rPr>
              <w:t>ve</w:t>
            </w:r>
            <w:r>
              <w:rPr>
                <w:spacing w:val="-21"/>
                <w:sz w:val="22"/>
              </w:rPr>
              <w:t> </w:t>
            </w:r>
            <w:r>
              <w:rPr>
                <w:sz w:val="22"/>
              </w:rPr>
              <w:t>SHT-21</w:t>
            </w:r>
            <w:r>
              <w:rPr>
                <w:spacing w:val="-21"/>
                <w:sz w:val="22"/>
              </w:rPr>
              <w:t> </w:t>
            </w:r>
            <w:r>
              <w:rPr>
                <w:sz w:val="22"/>
              </w:rPr>
              <w:t>Altbölüm I (veya EASA Part-21 veya Part-21 Light Subpart I) kriterlerine      göre      düzenlenmiş      bir    </w:t>
            </w:r>
            <w:r>
              <w:rPr>
                <w:spacing w:val="25"/>
                <w:sz w:val="22"/>
              </w:rPr>
              <w:t> </w:t>
            </w:r>
            <w:r>
              <w:rPr>
                <w:sz w:val="22"/>
              </w:rPr>
              <w:t>gürültü</w:t>
            </w:r>
          </w:p>
          <w:p>
            <w:pPr>
              <w:pStyle w:val="TableParagraph"/>
              <w:spacing w:line="248" w:lineRule="exact" w:before="1"/>
              <w:ind w:left="64"/>
              <w:jc w:val="both"/>
              <w:rPr>
                <w:sz w:val="22"/>
              </w:rPr>
            </w:pPr>
            <w:r>
              <w:rPr>
                <w:sz w:val="22"/>
              </w:rPr>
              <w:t>sertifikasına sahip olması,</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80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5"/>
              <w:rPr>
                <w:sz w:val="23"/>
              </w:rPr>
            </w:pPr>
          </w:p>
          <w:p>
            <w:pPr>
              <w:pStyle w:val="TableParagraph"/>
              <w:ind w:left="369" w:right="370"/>
              <w:jc w:val="center"/>
              <w:rPr>
                <w:sz w:val="22"/>
              </w:rPr>
            </w:pPr>
            <w:r>
              <w:rPr>
                <w:sz w:val="22"/>
              </w:rPr>
              <w:t>AAD-12</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5"/>
              <w:rPr>
                <w:sz w:val="23"/>
              </w:rPr>
            </w:pPr>
          </w:p>
          <w:p>
            <w:pPr>
              <w:pStyle w:val="TableParagraph"/>
              <w:ind w:left="63"/>
              <w:rPr>
                <w:sz w:val="22"/>
              </w:rPr>
            </w:pPr>
            <w:r>
              <w:rPr>
                <w:w w:val="95"/>
                <w:sz w:val="22"/>
              </w:rPr>
              <w:t>ML.A.903 (a)</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tabs>
                <w:tab w:pos="1549" w:val="left" w:leader="none"/>
                <w:tab w:pos="2256" w:val="left" w:leader="none"/>
                <w:tab w:pos="3470" w:val="left" w:leader="none"/>
                <w:tab w:pos="4269" w:val="left" w:leader="none"/>
              </w:tabs>
              <w:spacing w:line="254" w:lineRule="auto" w:before="1"/>
              <w:ind w:left="64" w:right="59"/>
              <w:rPr>
                <w:sz w:val="22"/>
              </w:rPr>
            </w:pPr>
            <w:r>
              <w:rPr>
                <w:sz w:val="22"/>
              </w:rPr>
              <w:t>Genel Müdürlüğün hava aracı uçuşa elverişliliği ve operasyonuna</w:t>
              <w:tab/>
              <w:t>ilişkin</w:t>
              <w:tab/>
              <w:t>yayımladığı</w:t>
              <w:tab/>
              <w:t>geçerli</w:t>
              <w:tab/>
              <w:t>diğer</w:t>
            </w:r>
          </w:p>
          <w:p>
            <w:pPr>
              <w:pStyle w:val="TableParagraph"/>
              <w:spacing w:line="248" w:lineRule="exact" w:before="1"/>
              <w:ind w:left="64"/>
              <w:rPr>
                <w:sz w:val="22"/>
              </w:rPr>
            </w:pPr>
            <w:r>
              <w:rPr>
                <w:sz w:val="22"/>
              </w:rPr>
              <w:t>mevzuatlardaki gereklilikler.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21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10"/>
              <w:rPr>
                <w:sz w:val="33"/>
              </w:rPr>
            </w:pPr>
          </w:p>
          <w:p>
            <w:pPr>
              <w:pStyle w:val="TableParagraph"/>
              <w:ind w:left="369" w:right="370"/>
              <w:jc w:val="center"/>
              <w:rPr>
                <w:sz w:val="22"/>
              </w:rPr>
            </w:pPr>
            <w:r>
              <w:rPr>
                <w:sz w:val="22"/>
              </w:rPr>
              <w:t>19</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10"/>
              <w:rPr>
                <w:sz w:val="33"/>
              </w:rPr>
            </w:pPr>
          </w:p>
          <w:p>
            <w:pPr>
              <w:pStyle w:val="TableParagraph"/>
              <w:ind w:left="64"/>
              <w:rPr>
                <w:sz w:val="22"/>
              </w:rPr>
            </w:pPr>
            <w:r>
              <w:rPr>
                <w:w w:val="95"/>
                <w:sz w:val="22"/>
              </w:rPr>
              <w:t>ML.A.903 (b)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8"/>
              <w:jc w:val="both"/>
              <w:rPr>
                <w:sz w:val="22"/>
              </w:rPr>
            </w:pPr>
            <w:r>
              <w:rPr>
                <w:sz w:val="22"/>
              </w:rPr>
              <w:t>Hava aracının uçuşa elverişlilik gözden geçirme işlemini yapan yetkilendirilmiş personel (ARS),</w:t>
            </w:r>
            <w:r>
              <w:rPr>
                <w:spacing w:val="-36"/>
                <w:sz w:val="22"/>
              </w:rPr>
              <w:t> </w:t>
            </w:r>
            <w:r>
              <w:rPr>
                <w:sz w:val="22"/>
              </w:rPr>
              <w:t>hava aracının  fiziksel  incelemesini  de  yerine   getirir. Bu inceleme için SHT-66'ya göre tanzim edilmiş lisansı olmayan veya gözden geçirme işlemi yapılan hava aracı tipi lisansına kayıtlı olmayan ARS'ye, söz konusu  hava   aracı  tipi   lisansına   işlenmiş </w:t>
            </w:r>
            <w:r>
              <w:rPr>
                <w:spacing w:val="2"/>
                <w:sz w:val="22"/>
              </w:rPr>
              <w:t> </w:t>
            </w:r>
            <w:r>
              <w:rPr>
                <w:sz w:val="22"/>
              </w:rPr>
              <w:t>bakım</w:t>
            </w:r>
          </w:p>
          <w:p>
            <w:pPr>
              <w:pStyle w:val="TableParagraph"/>
              <w:spacing w:line="248" w:lineRule="exact" w:before="1"/>
              <w:ind w:left="64"/>
              <w:jc w:val="both"/>
              <w:rPr>
                <w:sz w:val="22"/>
              </w:rPr>
            </w:pPr>
            <w:r>
              <w:rPr>
                <w:sz w:val="22"/>
              </w:rPr>
              <w:t>personeli tarafından yardımcı olunur.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bl>
    <w:p>
      <w:pPr>
        <w:spacing w:after="0"/>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spacing w:before="3" w:after="1"/>
        <w:rPr>
          <w:sz w:val="10"/>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116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spacing w:before="171"/>
              <w:ind w:left="369" w:right="369"/>
              <w:jc w:val="center"/>
              <w:rPr>
                <w:sz w:val="22"/>
              </w:rPr>
            </w:pPr>
            <w:r>
              <w:rPr>
                <w:w w:val="95"/>
                <w:sz w:val="22"/>
              </w:rPr>
              <w:t>AAD-1</w:t>
            </w:r>
          </w:p>
        </w:tc>
        <w:tc>
          <w:tcPr>
            <w:tcW w:w="1843" w:type="dxa"/>
            <w:tcBorders>
              <w:left w:val="single" w:sz="4" w:space="0" w:color="3366FF"/>
              <w:bottom w:val="single" w:sz="4" w:space="0" w:color="3366FF"/>
              <w:right w:val="single" w:sz="4" w:space="0" w:color="3366FF"/>
            </w:tcBorders>
          </w:tcPr>
          <w:p>
            <w:pPr>
              <w:pStyle w:val="TableParagraph"/>
              <w:rPr>
                <w:sz w:val="24"/>
              </w:rPr>
            </w:pPr>
          </w:p>
          <w:p>
            <w:pPr>
              <w:pStyle w:val="TableParagraph"/>
              <w:spacing w:before="171"/>
              <w:ind w:left="63"/>
              <w:rPr>
                <w:sz w:val="22"/>
              </w:rPr>
            </w:pPr>
            <w:r>
              <w:rPr>
                <w:w w:val="95"/>
                <w:sz w:val="22"/>
              </w:rPr>
              <w:t>ML.A.903 (b)</w:t>
            </w:r>
          </w:p>
        </w:tc>
        <w:tc>
          <w:tcPr>
            <w:tcW w:w="4800" w:type="dxa"/>
            <w:tcBorders>
              <w:left w:val="single" w:sz="4" w:space="0" w:color="3366FF"/>
              <w:bottom w:val="single" w:sz="4" w:space="0" w:color="3366FF"/>
              <w:right w:val="single" w:sz="4" w:space="0" w:color="3366FF"/>
            </w:tcBorders>
          </w:tcPr>
          <w:p>
            <w:pPr>
              <w:pStyle w:val="TableParagraph"/>
              <w:tabs>
                <w:tab w:pos="1917" w:val="left" w:leader="none"/>
                <w:tab w:pos="3840" w:val="left" w:leader="none"/>
              </w:tabs>
              <w:spacing w:line="254" w:lineRule="auto" w:before="46"/>
              <w:ind w:left="64" w:right="60"/>
              <w:jc w:val="both"/>
              <w:rPr>
                <w:sz w:val="22"/>
              </w:rPr>
            </w:pPr>
            <w:r>
              <w:rPr>
                <w:sz w:val="22"/>
              </w:rPr>
              <w:t>Hava aracının fiziki incelemesinde, uçuşa</w:t>
            </w:r>
            <w:r>
              <w:rPr>
                <w:spacing w:val="-18"/>
                <w:sz w:val="22"/>
              </w:rPr>
              <w:t> </w:t>
            </w:r>
            <w:r>
              <w:rPr>
                <w:sz w:val="22"/>
              </w:rPr>
              <w:t>elverişlilik gözden</w:t>
              <w:tab/>
              <w:t>geçirme</w:t>
              <w:tab/>
              <w:t>personeli: 1.) Gerekli tüm işaretlemelerin ve plakaların uygun şekilde</w:t>
            </w:r>
            <w:r>
              <w:rPr>
                <w:spacing w:val="-20"/>
                <w:sz w:val="22"/>
              </w:rPr>
              <w:t> </w:t>
            </w:r>
            <w:r>
              <w:rPr>
                <w:sz w:val="22"/>
              </w:rPr>
              <w:t>takıldığından</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r>
        <w:trPr>
          <w:trHeight w:val="2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3"/>
              <w:ind w:left="369" w:right="369"/>
              <w:jc w:val="center"/>
              <w:rPr>
                <w:sz w:val="22"/>
              </w:rPr>
            </w:pPr>
            <w:r>
              <w:rPr>
                <w:w w:val="95"/>
                <w:sz w:val="22"/>
              </w:rPr>
              <w:t>AAD-2</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13"/>
              <w:ind w:left="63"/>
              <w:rPr>
                <w:sz w:val="22"/>
              </w:rPr>
            </w:pPr>
            <w:r>
              <w:rPr>
                <w:w w:val="95"/>
                <w:sz w:val="22"/>
              </w:rPr>
              <w:t>ML.A.903 (b)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before="13"/>
              <w:ind w:left="63"/>
              <w:rPr>
                <w:sz w:val="22"/>
              </w:rPr>
            </w:pPr>
            <w:r>
              <w:rPr>
                <w:sz w:val="22"/>
              </w:rPr>
              <w:t>Hava</w:t>
            </w:r>
            <w:r>
              <w:rPr>
                <w:spacing w:val="-17"/>
                <w:sz w:val="22"/>
              </w:rPr>
              <w:t> </w:t>
            </w:r>
            <w:r>
              <w:rPr>
                <w:sz w:val="22"/>
              </w:rPr>
              <w:t>aracının</w:t>
            </w:r>
            <w:r>
              <w:rPr>
                <w:spacing w:val="-18"/>
                <w:sz w:val="22"/>
              </w:rPr>
              <w:t> </w:t>
            </w:r>
            <w:r>
              <w:rPr>
                <w:sz w:val="22"/>
              </w:rPr>
              <w:t>onaylı</w:t>
            </w:r>
            <w:r>
              <w:rPr>
                <w:spacing w:val="-19"/>
                <w:sz w:val="22"/>
              </w:rPr>
              <w:t> </w:t>
            </w:r>
            <w:r>
              <w:rPr>
                <w:sz w:val="22"/>
              </w:rPr>
              <w:t>uçuş</w:t>
            </w:r>
            <w:r>
              <w:rPr>
                <w:spacing w:val="-19"/>
                <w:sz w:val="22"/>
              </w:rPr>
              <w:t> </w:t>
            </w:r>
            <w:r>
              <w:rPr>
                <w:sz w:val="22"/>
              </w:rPr>
              <w:t>el</w:t>
            </w:r>
            <w:r>
              <w:rPr>
                <w:spacing w:val="-17"/>
                <w:sz w:val="22"/>
              </w:rPr>
              <w:t> </w:t>
            </w:r>
            <w:r>
              <w:rPr>
                <w:sz w:val="22"/>
              </w:rPr>
              <w:t>kitabına</w:t>
            </w:r>
            <w:r>
              <w:rPr>
                <w:spacing w:val="-19"/>
                <w:sz w:val="22"/>
              </w:rPr>
              <w:t> </w:t>
            </w:r>
            <w:r>
              <w:rPr>
                <w:sz w:val="22"/>
              </w:rPr>
              <w:t>uygunluğundan,</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0"/>
              </w:rPr>
            </w:pPr>
          </w:p>
        </w:tc>
        <w:tc>
          <w:tcPr>
            <w:tcW w:w="4970" w:type="dxa"/>
            <w:tcBorders>
              <w:top w:val="nil"/>
              <w:left w:val="nil"/>
              <w:bottom w:val="nil"/>
              <w:right w:val="nil"/>
            </w:tcBorders>
            <w:shd w:val="clear" w:color="auto" w:fill="3366FF"/>
          </w:tcPr>
          <w:p>
            <w:pPr>
              <w:pStyle w:val="TableParagraph"/>
              <w:rPr>
                <w:sz w:val="20"/>
              </w:rPr>
            </w:pPr>
          </w:p>
        </w:tc>
      </w:tr>
      <w:tr>
        <w:trPr>
          <w:trHeight w:val="5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57"/>
              <w:ind w:left="369" w:right="369"/>
              <w:jc w:val="center"/>
              <w:rPr>
                <w:sz w:val="22"/>
              </w:rPr>
            </w:pPr>
            <w:r>
              <w:rPr>
                <w:w w:val="95"/>
                <w:sz w:val="22"/>
              </w:rPr>
              <w:t>AAD-3</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157"/>
              <w:ind w:left="63"/>
              <w:rPr>
                <w:sz w:val="22"/>
              </w:rPr>
            </w:pPr>
            <w:r>
              <w:rPr>
                <w:w w:val="95"/>
                <w:sz w:val="22"/>
              </w:rPr>
              <w:t>ML.A.903 (b)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tabs>
                <w:tab w:pos="1018" w:val="left" w:leader="none"/>
                <w:tab w:pos="1956" w:val="left" w:leader="none"/>
                <w:tab w:pos="4190" w:val="left" w:leader="none"/>
              </w:tabs>
              <w:spacing w:line="254" w:lineRule="auto" w:before="22"/>
              <w:ind w:left="64" w:right="60"/>
              <w:rPr>
                <w:sz w:val="22"/>
              </w:rPr>
            </w:pPr>
            <w:r>
              <w:rPr>
                <w:sz w:val="22"/>
              </w:rPr>
              <w:t>Hava</w:t>
              <w:tab/>
              <w:t>aracı</w:t>
              <w:tab/>
              <w:t>konfigürasyonunun</w:t>
              <w:tab/>
            </w:r>
            <w:r>
              <w:rPr>
                <w:w w:val="95"/>
                <w:sz w:val="22"/>
              </w:rPr>
              <w:t>onaylı </w:t>
            </w:r>
            <w:r>
              <w:rPr>
                <w:sz w:val="22"/>
              </w:rPr>
              <w:t>dokümantasyona,  üretici verilerine</w:t>
            </w:r>
            <w:r>
              <w:rPr>
                <w:spacing w:val="-3"/>
                <w:sz w:val="22"/>
              </w:rPr>
              <w:t> </w:t>
            </w:r>
            <w:r>
              <w:rPr>
                <w:sz w:val="22"/>
              </w:rPr>
              <w:t>uygunluğundan,</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5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57"/>
              <w:ind w:left="369" w:right="369"/>
              <w:jc w:val="center"/>
              <w:rPr>
                <w:sz w:val="22"/>
              </w:rPr>
            </w:pPr>
            <w:r>
              <w:rPr>
                <w:w w:val="95"/>
                <w:sz w:val="22"/>
              </w:rPr>
              <w:t>AAD-4</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157"/>
              <w:ind w:left="63"/>
              <w:rPr>
                <w:sz w:val="22"/>
              </w:rPr>
            </w:pPr>
            <w:r>
              <w:rPr>
                <w:w w:val="95"/>
                <w:sz w:val="22"/>
              </w:rPr>
              <w:t>ML.A.903 (b)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22"/>
              <w:ind w:left="64" w:right="7"/>
              <w:rPr>
                <w:sz w:val="22"/>
              </w:rPr>
            </w:pPr>
            <w:r>
              <w:rPr>
                <w:sz w:val="22"/>
              </w:rPr>
              <w:t>ML.A.403 gereğince kayda alınmamış hiçbir belirgin arızanın bulunmadığından,</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8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
              <w:rPr>
                <w:sz w:val="26"/>
              </w:rPr>
            </w:pPr>
          </w:p>
          <w:p>
            <w:pPr>
              <w:pStyle w:val="TableParagraph"/>
              <w:spacing w:before="1"/>
              <w:ind w:left="369" w:right="369"/>
              <w:jc w:val="center"/>
              <w:rPr>
                <w:sz w:val="22"/>
              </w:rPr>
            </w:pPr>
            <w:r>
              <w:rPr>
                <w:w w:val="95"/>
                <w:sz w:val="22"/>
              </w:rPr>
              <w:t>AAD-5</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1"/>
              <w:rPr>
                <w:sz w:val="26"/>
              </w:rPr>
            </w:pPr>
          </w:p>
          <w:p>
            <w:pPr>
              <w:pStyle w:val="TableParagraph"/>
              <w:spacing w:before="1"/>
              <w:ind w:left="63"/>
              <w:rPr>
                <w:sz w:val="22"/>
              </w:rPr>
            </w:pPr>
            <w:r>
              <w:rPr>
                <w:w w:val="95"/>
                <w:sz w:val="22"/>
              </w:rPr>
              <w:t>ML.A.903 (b)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32"/>
              <w:ind w:left="64" w:right="62"/>
              <w:jc w:val="both"/>
              <w:rPr>
                <w:sz w:val="22"/>
              </w:rPr>
            </w:pPr>
            <w:r>
              <w:rPr>
                <w:sz w:val="22"/>
              </w:rPr>
              <w:t>Hava</w:t>
            </w:r>
            <w:r>
              <w:rPr>
                <w:spacing w:val="-8"/>
                <w:sz w:val="22"/>
              </w:rPr>
              <w:t> </w:t>
            </w:r>
            <w:r>
              <w:rPr>
                <w:sz w:val="22"/>
              </w:rPr>
              <w:t>aracı</w:t>
            </w:r>
            <w:r>
              <w:rPr>
                <w:spacing w:val="-10"/>
                <w:sz w:val="22"/>
              </w:rPr>
              <w:t> </w:t>
            </w:r>
            <w:r>
              <w:rPr>
                <w:sz w:val="22"/>
              </w:rPr>
              <w:t>ile</w:t>
            </w:r>
            <w:r>
              <w:rPr>
                <w:spacing w:val="-10"/>
                <w:sz w:val="22"/>
              </w:rPr>
              <w:t> </w:t>
            </w:r>
            <w:r>
              <w:rPr>
                <w:sz w:val="22"/>
              </w:rPr>
              <w:t>(a)</w:t>
            </w:r>
            <w:r>
              <w:rPr>
                <w:spacing w:val="-13"/>
                <w:sz w:val="22"/>
              </w:rPr>
              <w:t> </w:t>
            </w:r>
            <w:r>
              <w:rPr>
                <w:sz w:val="22"/>
              </w:rPr>
              <w:t>bendine</w:t>
            </w:r>
            <w:r>
              <w:rPr>
                <w:spacing w:val="-6"/>
                <w:sz w:val="22"/>
              </w:rPr>
              <w:t> </w:t>
            </w:r>
            <w:r>
              <w:rPr>
                <w:sz w:val="22"/>
              </w:rPr>
              <w:t>göre</w:t>
            </w:r>
            <w:r>
              <w:rPr>
                <w:spacing w:val="-6"/>
                <w:sz w:val="22"/>
              </w:rPr>
              <w:t> </w:t>
            </w:r>
            <w:r>
              <w:rPr>
                <w:sz w:val="22"/>
              </w:rPr>
              <w:t>dokümante</w:t>
            </w:r>
            <w:r>
              <w:rPr>
                <w:spacing w:val="-12"/>
                <w:sz w:val="22"/>
              </w:rPr>
              <w:t> </w:t>
            </w:r>
            <w:r>
              <w:rPr>
                <w:sz w:val="22"/>
              </w:rPr>
              <w:t>edilmiş</w:t>
            </w:r>
            <w:r>
              <w:rPr>
                <w:spacing w:val="-10"/>
                <w:sz w:val="22"/>
              </w:rPr>
              <w:t> </w:t>
            </w:r>
            <w:r>
              <w:rPr>
                <w:sz w:val="22"/>
              </w:rPr>
              <w:t>ve incelenmiş kayıtlar arasında hiçbir tutarsızlığın</w:t>
            </w:r>
            <w:r>
              <w:rPr>
                <w:spacing w:val="-28"/>
                <w:sz w:val="22"/>
              </w:rPr>
              <w:t> </w:t>
            </w:r>
            <w:r>
              <w:rPr>
                <w:sz w:val="22"/>
              </w:rPr>
              <w:t>tespit edilmediğinden emin</w:t>
            </w:r>
            <w:r>
              <w:rPr>
                <w:spacing w:val="16"/>
                <w:sz w:val="22"/>
              </w:rPr>
              <w:t> </w:t>
            </w:r>
            <w:r>
              <w:rPr>
                <w:sz w:val="22"/>
              </w:rPr>
              <w:t>olur.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18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2"/>
              <w:rPr>
                <w:sz w:val="22"/>
              </w:rPr>
            </w:pPr>
          </w:p>
          <w:p>
            <w:pPr>
              <w:pStyle w:val="TableParagraph"/>
              <w:ind w:left="369" w:right="369"/>
              <w:jc w:val="center"/>
              <w:rPr>
                <w:sz w:val="22"/>
              </w:rPr>
            </w:pPr>
            <w:r>
              <w:rPr>
                <w:w w:val="95"/>
                <w:sz w:val="22"/>
              </w:rPr>
              <w:t>AAD-6</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2"/>
              <w:rPr>
                <w:sz w:val="22"/>
              </w:rPr>
            </w:pPr>
          </w:p>
          <w:p>
            <w:pPr>
              <w:pStyle w:val="TableParagraph"/>
              <w:ind w:left="63"/>
              <w:rPr>
                <w:sz w:val="22"/>
              </w:rPr>
            </w:pPr>
            <w:r>
              <w:rPr>
                <w:w w:val="95"/>
                <w:sz w:val="22"/>
              </w:rPr>
              <w:t>ML.A.903 (b)</w:t>
            </w:r>
          </w:p>
        </w:tc>
        <w:tc>
          <w:tcPr>
            <w:tcW w:w="4800" w:type="dxa"/>
            <w:tcBorders>
              <w:top w:val="single" w:sz="4" w:space="0" w:color="3366FF"/>
              <w:left w:val="single" w:sz="4" w:space="0" w:color="3366FF"/>
              <w:right w:val="single" w:sz="4" w:space="0" w:color="3366FF"/>
            </w:tcBorders>
          </w:tcPr>
          <w:p>
            <w:pPr>
              <w:pStyle w:val="TableParagraph"/>
              <w:spacing w:line="254" w:lineRule="auto" w:before="1"/>
              <w:ind w:left="64" w:right="57"/>
              <w:jc w:val="both"/>
              <w:rPr>
                <w:sz w:val="22"/>
              </w:rPr>
            </w:pPr>
            <w:r>
              <w:rPr>
                <w:sz w:val="22"/>
              </w:rPr>
              <w:t>ML.A.901 (a) bendine istisnai olarak, uçuşa elverişlilik gözden geçirme işlemi, fiziksel incelemenin bakım faaliyeti sırasında gerçekleştirilmesine olanak sağlamak amacıyla, uçuşa elverişlilik gözden geçirme sürecinin sürekliliğinde</w:t>
            </w:r>
            <w:r>
              <w:rPr>
                <w:spacing w:val="-16"/>
                <w:sz w:val="22"/>
              </w:rPr>
              <w:t> </w:t>
            </w:r>
            <w:r>
              <w:rPr>
                <w:sz w:val="22"/>
              </w:rPr>
              <w:t>herhangi</w:t>
            </w:r>
            <w:r>
              <w:rPr>
                <w:spacing w:val="-17"/>
                <w:sz w:val="22"/>
              </w:rPr>
              <w:t> </w:t>
            </w:r>
            <w:r>
              <w:rPr>
                <w:sz w:val="22"/>
              </w:rPr>
              <w:t>bir</w:t>
            </w:r>
            <w:r>
              <w:rPr>
                <w:spacing w:val="-16"/>
                <w:sz w:val="22"/>
              </w:rPr>
              <w:t> </w:t>
            </w:r>
            <w:r>
              <w:rPr>
                <w:sz w:val="22"/>
              </w:rPr>
              <w:t>kayıp</w:t>
            </w:r>
            <w:r>
              <w:rPr>
                <w:spacing w:val="-17"/>
                <w:sz w:val="22"/>
              </w:rPr>
              <w:t> </w:t>
            </w:r>
            <w:r>
              <w:rPr>
                <w:sz w:val="22"/>
              </w:rPr>
              <w:t>oluşmaksızın,</w:t>
            </w:r>
            <w:r>
              <w:rPr>
                <w:spacing w:val="-16"/>
                <w:sz w:val="22"/>
              </w:rPr>
              <w:t> </w:t>
            </w:r>
            <w:r>
              <w:rPr>
                <w:sz w:val="22"/>
              </w:rPr>
              <w:t>azami</w:t>
            </w:r>
          </w:p>
          <w:p>
            <w:pPr>
              <w:pStyle w:val="TableParagraph"/>
              <w:spacing w:line="248" w:lineRule="exact" w:before="1"/>
              <w:ind w:left="64"/>
              <w:jc w:val="both"/>
              <w:rPr>
                <w:sz w:val="22"/>
              </w:rPr>
            </w:pPr>
            <w:r>
              <w:rPr>
                <w:sz w:val="22"/>
              </w:rPr>
              <w:t>90 gün önceden yapılabilir.</w:t>
            </w:r>
          </w:p>
        </w:tc>
        <w:tc>
          <w:tcPr>
            <w:tcW w:w="497" w:type="dxa"/>
            <w:tcBorders>
              <w:top w:val="single" w:sz="4" w:space="0" w:color="3366FF"/>
              <w:left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right w:val="single" w:sz="4" w:space="0" w:color="3366FF"/>
            </w:tcBorders>
          </w:tcPr>
          <w:p>
            <w:pPr>
              <w:pStyle w:val="TableParagraph"/>
              <w:rPr>
                <w:sz w:val="22"/>
              </w:rPr>
            </w:pPr>
          </w:p>
        </w:tc>
        <w:tc>
          <w:tcPr>
            <w:tcW w:w="4970" w:type="dxa"/>
            <w:tcBorders>
              <w:top w:val="nil"/>
              <w:left w:val="nil"/>
              <w:right w:val="nil"/>
            </w:tcBorders>
            <w:shd w:val="clear" w:color="auto" w:fill="3366FF"/>
          </w:tcPr>
          <w:p>
            <w:pPr>
              <w:pStyle w:val="TableParagraph"/>
              <w:rPr>
                <w:sz w:val="22"/>
              </w:rPr>
            </w:pPr>
          </w:p>
        </w:tc>
      </w:tr>
      <w:tr>
        <w:trPr>
          <w:trHeight w:val="240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spacing w:before="6"/>
              <w:rPr>
                <w:sz w:val="21"/>
              </w:rPr>
            </w:pPr>
          </w:p>
          <w:p>
            <w:pPr>
              <w:pStyle w:val="TableParagraph"/>
              <w:ind w:left="369" w:right="370"/>
              <w:jc w:val="center"/>
              <w:rPr>
                <w:sz w:val="22"/>
              </w:rPr>
            </w:pPr>
            <w:r>
              <w:rPr>
                <w:sz w:val="22"/>
              </w:rPr>
              <w:t>20</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spacing w:before="6"/>
              <w:rPr>
                <w:sz w:val="21"/>
              </w:rPr>
            </w:pPr>
          </w:p>
          <w:p>
            <w:pPr>
              <w:pStyle w:val="TableParagraph"/>
              <w:ind w:left="64"/>
              <w:rPr>
                <w:sz w:val="22"/>
              </w:rPr>
            </w:pPr>
            <w:r>
              <w:rPr>
                <w:w w:val="95"/>
                <w:sz w:val="22"/>
              </w:rPr>
              <w:t>ML.A.903 (e)</w:t>
            </w:r>
          </w:p>
        </w:tc>
        <w:tc>
          <w:tcPr>
            <w:tcW w:w="4800" w:type="dxa"/>
            <w:tcBorders>
              <w:left w:val="single" w:sz="4" w:space="0" w:color="3366FF"/>
              <w:bottom w:val="single" w:sz="4" w:space="0" w:color="3366FF"/>
              <w:right w:val="single" w:sz="4" w:space="0" w:color="3366FF"/>
            </w:tcBorders>
          </w:tcPr>
          <w:p>
            <w:pPr>
              <w:pStyle w:val="TableParagraph"/>
              <w:spacing w:line="254" w:lineRule="auto" w:before="1"/>
              <w:ind w:left="64" w:right="60"/>
              <w:jc w:val="both"/>
              <w:rPr>
                <w:sz w:val="22"/>
              </w:rPr>
            </w:pPr>
            <w:r>
              <w:rPr>
                <w:sz w:val="22"/>
              </w:rPr>
              <w:t>Uçuşa elverişlilik gözden geçirme sertifikası</w:t>
            </w:r>
            <w:r>
              <w:rPr>
                <w:spacing w:val="-28"/>
                <w:sz w:val="22"/>
              </w:rPr>
              <w:t> </w:t>
            </w:r>
            <w:r>
              <w:rPr>
                <w:sz w:val="22"/>
              </w:rPr>
              <w:t>(SHGM Form 15C), aşağıdaki şartlar sağlandığında yayımlanabilir.</w:t>
            </w:r>
          </w:p>
          <w:p>
            <w:pPr>
              <w:pStyle w:val="TableParagraph"/>
              <w:spacing w:line="254" w:lineRule="auto" w:before="1"/>
              <w:ind w:left="64" w:right="58"/>
              <w:jc w:val="both"/>
              <w:rPr>
                <w:sz w:val="22"/>
              </w:rPr>
            </w:pPr>
            <w:r>
              <w:rPr>
                <w:sz w:val="22"/>
              </w:rPr>
              <w:t>1.) Uygun şekilde yetkilendirilen uçuşa elverişlilik gözden        geçirme        personeli        tarafından;  2.) Uçuşa elverişlilik gözden geçirme işlemi eksiksiz yapılarak ve ayrıca tespit edilen bulgular kapatıldığında,</w:t>
            </w:r>
          </w:p>
          <w:p>
            <w:pPr>
              <w:pStyle w:val="TableParagraph"/>
              <w:spacing w:line="248" w:lineRule="exact" w:before="1"/>
              <w:ind w:left="64"/>
              <w:jc w:val="both"/>
              <w:rPr>
                <w:sz w:val="22"/>
              </w:rPr>
            </w:pPr>
            <w:r>
              <w:rPr>
                <w:sz w:val="22"/>
              </w:rPr>
              <w:t>3.) Bakım programında herhangi bir eksiklik tespit</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bl>
    <w:p>
      <w:pPr>
        <w:spacing w:after="0"/>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spacing w:before="6" w:after="1"/>
        <w:rPr>
          <w:sz w:val="21"/>
        </w:rPr>
      </w:pPr>
    </w:p>
    <w:tbl>
      <w:tblPr>
        <w:tblW w:w="0" w:type="auto"/>
        <w:jc w:val="left"/>
        <w:tblInd w:w="118" w:type="dxa"/>
        <w:tblBorders>
          <w:top w:val="single" w:sz="4" w:space="0" w:color="3366FF"/>
          <w:left w:val="single" w:sz="4" w:space="0" w:color="3366FF"/>
          <w:bottom w:val="single" w:sz="4" w:space="0" w:color="3366FF"/>
          <w:right w:val="single" w:sz="4" w:space="0" w:color="3366FF"/>
          <w:insideH w:val="single" w:sz="4" w:space="0" w:color="3366FF"/>
          <w:insideV w:val="single" w:sz="4" w:space="0" w:color="3366FF"/>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2320" w:hRule="atLeast"/>
        </w:trPr>
        <w:tc>
          <w:tcPr>
            <w:tcW w:w="1560" w:type="dxa"/>
            <w:tcBorders>
              <w:top w:val="nil"/>
            </w:tcBorders>
          </w:tcPr>
          <w:p>
            <w:pPr>
              <w:pStyle w:val="TableParagraph"/>
              <w:rPr>
                <w:sz w:val="22"/>
              </w:rPr>
            </w:pPr>
          </w:p>
        </w:tc>
        <w:tc>
          <w:tcPr>
            <w:tcW w:w="1843" w:type="dxa"/>
            <w:tcBorders>
              <w:top w:val="nil"/>
            </w:tcBorders>
          </w:tcPr>
          <w:p>
            <w:pPr>
              <w:pStyle w:val="TableParagraph"/>
              <w:rPr>
                <w:sz w:val="22"/>
              </w:rPr>
            </w:pPr>
          </w:p>
        </w:tc>
        <w:tc>
          <w:tcPr>
            <w:tcW w:w="4800" w:type="dxa"/>
            <w:tcBorders>
              <w:top w:val="single" w:sz="4" w:space="0" w:color="2D74B5"/>
            </w:tcBorders>
          </w:tcPr>
          <w:p>
            <w:pPr>
              <w:pStyle w:val="TableParagraph"/>
              <w:spacing w:line="252" w:lineRule="auto" w:before="3"/>
              <w:ind w:left="64" w:right="57"/>
              <w:rPr>
                <w:sz w:val="22"/>
              </w:rPr>
            </w:pPr>
            <w:r>
              <w:rPr>
                <w:sz w:val="22"/>
              </w:rPr>
              <w:t>edildiği</w:t>
            </w:r>
            <w:r>
              <w:rPr>
                <w:spacing w:val="-23"/>
                <w:sz w:val="22"/>
              </w:rPr>
              <w:t> </w:t>
            </w:r>
            <w:r>
              <w:rPr>
                <w:sz w:val="22"/>
              </w:rPr>
              <w:t>zaman</w:t>
            </w:r>
            <w:r>
              <w:rPr>
                <w:spacing w:val="-24"/>
                <w:sz w:val="22"/>
              </w:rPr>
              <w:t> </w:t>
            </w:r>
            <w:r>
              <w:rPr>
                <w:sz w:val="22"/>
              </w:rPr>
              <w:t>bu</w:t>
            </w:r>
            <w:r>
              <w:rPr>
                <w:spacing w:val="-22"/>
                <w:sz w:val="22"/>
              </w:rPr>
              <w:t> </w:t>
            </w:r>
            <w:r>
              <w:rPr>
                <w:sz w:val="22"/>
              </w:rPr>
              <w:t>durum</w:t>
            </w:r>
            <w:r>
              <w:rPr>
                <w:spacing w:val="-22"/>
                <w:sz w:val="22"/>
              </w:rPr>
              <w:t> </w:t>
            </w:r>
            <w:r>
              <w:rPr>
                <w:sz w:val="22"/>
              </w:rPr>
              <w:t>ML.A.903</w:t>
            </w:r>
            <w:r>
              <w:rPr>
                <w:spacing w:val="-20"/>
                <w:sz w:val="22"/>
              </w:rPr>
              <w:t> </w:t>
            </w:r>
            <w:r>
              <w:rPr>
                <w:sz w:val="22"/>
              </w:rPr>
              <w:t>(h)'ye</w:t>
            </w:r>
            <w:r>
              <w:rPr>
                <w:spacing w:val="-20"/>
                <w:sz w:val="22"/>
              </w:rPr>
              <w:t> </w:t>
            </w:r>
            <w:r>
              <w:rPr>
                <w:sz w:val="22"/>
              </w:rPr>
              <w:t>göre</w:t>
            </w:r>
            <w:r>
              <w:rPr>
                <w:spacing w:val="-20"/>
                <w:sz w:val="22"/>
              </w:rPr>
              <w:t> </w:t>
            </w:r>
            <w:r>
              <w:rPr>
                <w:sz w:val="22"/>
              </w:rPr>
              <w:t>uygun şekilde</w:t>
            </w:r>
            <w:r>
              <w:rPr>
                <w:spacing w:val="-28"/>
                <w:sz w:val="22"/>
              </w:rPr>
              <w:t> </w:t>
            </w:r>
            <w:r>
              <w:rPr>
                <w:sz w:val="22"/>
              </w:rPr>
              <w:t>giderildiğinde</w:t>
            </w:r>
          </w:p>
        </w:tc>
        <w:tc>
          <w:tcPr>
            <w:tcW w:w="497" w:type="dxa"/>
            <w:tcBorders>
              <w:top w:val="single" w:sz="4" w:space="0" w:color="2D74B5"/>
            </w:tcBorders>
          </w:tcPr>
          <w:p>
            <w:pPr>
              <w:pStyle w:val="TableParagraph"/>
              <w:rPr>
                <w:sz w:val="22"/>
              </w:rPr>
            </w:pPr>
          </w:p>
        </w:tc>
        <w:tc>
          <w:tcPr>
            <w:tcW w:w="492" w:type="dxa"/>
            <w:tcBorders>
              <w:top w:val="single" w:sz="4" w:space="0" w:color="2D74B5"/>
            </w:tcBorders>
          </w:tcPr>
          <w:p>
            <w:pPr>
              <w:pStyle w:val="TableParagraph"/>
              <w:rPr>
                <w:sz w:val="22"/>
              </w:rPr>
            </w:pPr>
          </w:p>
        </w:tc>
        <w:tc>
          <w:tcPr>
            <w:tcW w:w="504" w:type="dxa"/>
            <w:tcBorders>
              <w:top w:val="single" w:sz="4" w:space="0" w:color="2D74B5"/>
            </w:tcBorders>
          </w:tcPr>
          <w:p>
            <w:pPr>
              <w:pStyle w:val="TableParagraph"/>
              <w:rPr>
                <w:sz w:val="22"/>
              </w:rPr>
            </w:pPr>
          </w:p>
        </w:tc>
        <w:tc>
          <w:tcPr>
            <w:tcW w:w="487" w:type="dxa"/>
            <w:tcBorders>
              <w:top w:val="single" w:sz="4" w:space="0" w:color="2D74B5"/>
            </w:tcBorders>
          </w:tcPr>
          <w:p>
            <w:pPr>
              <w:pStyle w:val="TableParagraph"/>
              <w:rPr>
                <w:sz w:val="22"/>
              </w:rPr>
            </w:pPr>
          </w:p>
        </w:tc>
        <w:tc>
          <w:tcPr>
            <w:tcW w:w="418" w:type="dxa"/>
            <w:tcBorders>
              <w:top w:val="single" w:sz="4" w:space="0" w:color="2D74B5"/>
            </w:tcBorders>
          </w:tcPr>
          <w:p>
            <w:pPr>
              <w:pStyle w:val="TableParagraph"/>
              <w:rPr>
                <w:sz w:val="22"/>
              </w:rPr>
            </w:pPr>
          </w:p>
        </w:tc>
        <w:tc>
          <w:tcPr>
            <w:tcW w:w="446" w:type="dxa"/>
            <w:tcBorders>
              <w:top w:val="single" w:sz="4" w:space="0" w:color="2D74B5"/>
            </w:tcBorders>
          </w:tcPr>
          <w:p>
            <w:pPr>
              <w:pStyle w:val="TableParagraph"/>
              <w:rPr>
                <w:sz w:val="22"/>
              </w:rPr>
            </w:pPr>
          </w:p>
        </w:tc>
        <w:tc>
          <w:tcPr>
            <w:tcW w:w="4970" w:type="dxa"/>
            <w:tcBorders>
              <w:top w:val="single" w:sz="4" w:space="0" w:color="2D74B5"/>
              <w:left w:val="nil"/>
              <w:bottom w:val="nil"/>
              <w:right w:val="nil"/>
            </w:tcBorders>
            <w:shd w:val="clear" w:color="auto" w:fill="3366FF"/>
          </w:tcPr>
          <w:p>
            <w:pPr>
              <w:pStyle w:val="TableParagraph"/>
              <w:rPr>
                <w:sz w:val="22"/>
              </w:rPr>
            </w:pPr>
          </w:p>
        </w:tc>
      </w:tr>
      <w:tr>
        <w:trPr>
          <w:trHeight w:val="1060" w:hRule="atLeast"/>
        </w:trPr>
        <w:tc>
          <w:tcPr>
            <w:tcW w:w="1560" w:type="dxa"/>
          </w:tcPr>
          <w:p>
            <w:pPr>
              <w:pStyle w:val="TableParagraph"/>
              <w:spacing w:before="1"/>
              <w:rPr>
                <w:sz w:val="35"/>
              </w:rPr>
            </w:pPr>
          </w:p>
          <w:p>
            <w:pPr>
              <w:pStyle w:val="TableParagraph"/>
              <w:ind w:left="369" w:right="370"/>
              <w:jc w:val="center"/>
              <w:rPr>
                <w:sz w:val="22"/>
              </w:rPr>
            </w:pPr>
            <w:r>
              <w:rPr>
                <w:sz w:val="22"/>
              </w:rPr>
              <w:t>21</w:t>
            </w:r>
          </w:p>
        </w:tc>
        <w:tc>
          <w:tcPr>
            <w:tcW w:w="1843" w:type="dxa"/>
          </w:tcPr>
          <w:p>
            <w:pPr>
              <w:pStyle w:val="TableParagraph"/>
              <w:spacing w:before="1"/>
              <w:rPr>
                <w:sz w:val="35"/>
              </w:rPr>
            </w:pPr>
          </w:p>
          <w:p>
            <w:pPr>
              <w:pStyle w:val="TableParagraph"/>
              <w:ind w:left="64"/>
              <w:rPr>
                <w:sz w:val="22"/>
              </w:rPr>
            </w:pPr>
            <w:r>
              <w:rPr>
                <w:w w:val="90"/>
                <w:sz w:val="22"/>
              </w:rPr>
              <w:t>ML.A.903 (f)</w:t>
            </w:r>
          </w:p>
        </w:tc>
        <w:tc>
          <w:tcPr>
            <w:tcW w:w="4800" w:type="dxa"/>
          </w:tcPr>
          <w:p>
            <w:pPr>
              <w:pStyle w:val="TableParagraph"/>
              <w:spacing w:line="254" w:lineRule="auto" w:before="1"/>
              <w:ind w:left="64" w:right="60"/>
              <w:jc w:val="both"/>
              <w:rPr>
                <w:sz w:val="22"/>
              </w:rPr>
            </w:pPr>
            <w:r>
              <w:rPr>
                <w:sz w:val="22"/>
              </w:rPr>
              <w:t>Hava aracı için düzenlenmiş veya geçerlilik süresi uzatılmış herhangi bir uçuşa elverişlilik gözden geçirme sertifikasının bir kopyası  Genel Müdürlüğe</w:t>
            </w:r>
          </w:p>
          <w:p>
            <w:pPr>
              <w:pStyle w:val="TableParagraph"/>
              <w:spacing w:line="248" w:lineRule="exact" w:before="1"/>
              <w:ind w:left="64"/>
              <w:jc w:val="both"/>
              <w:rPr>
                <w:sz w:val="22"/>
              </w:rPr>
            </w:pPr>
            <w:r>
              <w:rPr>
                <w:sz w:val="22"/>
              </w:rPr>
              <w:t>10 gün içerisinde gönderilir.</w:t>
            </w:r>
          </w:p>
        </w:tc>
        <w:tc>
          <w:tcPr>
            <w:tcW w:w="497" w:type="dxa"/>
          </w:tcPr>
          <w:p>
            <w:pPr>
              <w:pStyle w:val="TableParagraph"/>
              <w:rPr>
                <w:sz w:val="22"/>
              </w:rPr>
            </w:pPr>
          </w:p>
        </w:tc>
        <w:tc>
          <w:tcPr>
            <w:tcW w:w="492" w:type="dxa"/>
          </w:tcPr>
          <w:p>
            <w:pPr>
              <w:pStyle w:val="TableParagraph"/>
              <w:rPr>
                <w:sz w:val="22"/>
              </w:rPr>
            </w:pPr>
          </w:p>
        </w:tc>
        <w:tc>
          <w:tcPr>
            <w:tcW w:w="504" w:type="dxa"/>
          </w:tcPr>
          <w:p>
            <w:pPr>
              <w:pStyle w:val="TableParagraph"/>
              <w:rPr>
                <w:sz w:val="22"/>
              </w:rPr>
            </w:pPr>
          </w:p>
        </w:tc>
        <w:tc>
          <w:tcPr>
            <w:tcW w:w="487" w:type="dxa"/>
          </w:tcPr>
          <w:p>
            <w:pPr>
              <w:pStyle w:val="TableParagraph"/>
              <w:rPr>
                <w:sz w:val="22"/>
              </w:rPr>
            </w:pPr>
          </w:p>
        </w:tc>
        <w:tc>
          <w:tcPr>
            <w:tcW w:w="418" w:type="dxa"/>
          </w:tcPr>
          <w:p>
            <w:pPr>
              <w:pStyle w:val="TableParagraph"/>
              <w:rPr>
                <w:sz w:val="22"/>
              </w:rPr>
            </w:pPr>
          </w:p>
        </w:tc>
        <w:tc>
          <w:tcPr>
            <w:tcW w:w="446" w:type="dxa"/>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580" w:hRule="atLeast"/>
        </w:trPr>
        <w:tc>
          <w:tcPr>
            <w:tcW w:w="1560" w:type="dxa"/>
          </w:tcPr>
          <w:p>
            <w:pPr>
              <w:pStyle w:val="TableParagraph"/>
              <w:spacing w:before="157"/>
              <w:ind w:left="369" w:right="370"/>
              <w:jc w:val="center"/>
              <w:rPr>
                <w:sz w:val="22"/>
              </w:rPr>
            </w:pPr>
            <w:r>
              <w:rPr>
                <w:sz w:val="22"/>
              </w:rPr>
              <w:t>22</w:t>
            </w:r>
          </w:p>
        </w:tc>
        <w:tc>
          <w:tcPr>
            <w:tcW w:w="1843" w:type="dxa"/>
          </w:tcPr>
          <w:p>
            <w:pPr>
              <w:pStyle w:val="TableParagraph"/>
              <w:spacing w:before="157"/>
              <w:ind w:left="64"/>
              <w:rPr>
                <w:sz w:val="22"/>
              </w:rPr>
            </w:pPr>
            <w:r>
              <w:rPr>
                <w:w w:val="90"/>
                <w:sz w:val="22"/>
              </w:rPr>
              <w:t>ML.A.903 (g)</w:t>
            </w:r>
          </w:p>
        </w:tc>
        <w:tc>
          <w:tcPr>
            <w:tcW w:w="4800" w:type="dxa"/>
          </w:tcPr>
          <w:p>
            <w:pPr>
              <w:pStyle w:val="TableParagraph"/>
              <w:spacing w:line="254" w:lineRule="auto" w:before="22"/>
              <w:ind w:left="64" w:right="59"/>
              <w:rPr>
                <w:sz w:val="22"/>
              </w:rPr>
            </w:pPr>
            <w:r>
              <w:rPr>
                <w:sz w:val="22"/>
              </w:rPr>
              <w:t>Uçuşa</w:t>
            </w:r>
            <w:r>
              <w:rPr>
                <w:spacing w:val="-23"/>
                <w:sz w:val="22"/>
              </w:rPr>
              <w:t> </w:t>
            </w:r>
            <w:r>
              <w:rPr>
                <w:sz w:val="22"/>
              </w:rPr>
              <w:t>elverişlilik</w:t>
            </w:r>
            <w:r>
              <w:rPr>
                <w:spacing w:val="-23"/>
                <w:sz w:val="22"/>
              </w:rPr>
              <w:t> </w:t>
            </w:r>
            <w:r>
              <w:rPr>
                <w:sz w:val="22"/>
              </w:rPr>
              <w:t>gözden</w:t>
            </w:r>
            <w:r>
              <w:rPr>
                <w:spacing w:val="-24"/>
                <w:sz w:val="22"/>
              </w:rPr>
              <w:t> </w:t>
            </w:r>
            <w:r>
              <w:rPr>
                <w:sz w:val="22"/>
              </w:rPr>
              <w:t>geçirme</w:t>
            </w:r>
            <w:r>
              <w:rPr>
                <w:spacing w:val="-22"/>
                <w:sz w:val="22"/>
              </w:rPr>
              <w:t> </w:t>
            </w:r>
            <w:r>
              <w:rPr>
                <w:sz w:val="22"/>
              </w:rPr>
              <w:t>görevleri,</w:t>
            </w:r>
            <w:r>
              <w:rPr>
                <w:spacing w:val="-26"/>
                <w:sz w:val="22"/>
              </w:rPr>
              <w:t> </w:t>
            </w:r>
            <w:r>
              <w:rPr>
                <w:sz w:val="22"/>
              </w:rPr>
              <w:t>sözleşme yoluyla</w:t>
            </w:r>
            <w:r>
              <w:rPr>
                <w:spacing w:val="-27"/>
                <w:sz w:val="22"/>
              </w:rPr>
              <w:t> </w:t>
            </w:r>
            <w:r>
              <w:rPr>
                <w:sz w:val="22"/>
              </w:rPr>
              <w:t>yükleniciye</w:t>
            </w:r>
            <w:r>
              <w:rPr>
                <w:spacing w:val="-26"/>
                <w:sz w:val="22"/>
              </w:rPr>
              <w:t> </w:t>
            </w:r>
            <w:r>
              <w:rPr>
                <w:sz w:val="22"/>
              </w:rPr>
              <w:t>devredilemez.</w:t>
            </w:r>
          </w:p>
        </w:tc>
        <w:tc>
          <w:tcPr>
            <w:tcW w:w="497" w:type="dxa"/>
          </w:tcPr>
          <w:p>
            <w:pPr>
              <w:pStyle w:val="TableParagraph"/>
              <w:rPr>
                <w:sz w:val="22"/>
              </w:rPr>
            </w:pPr>
          </w:p>
        </w:tc>
        <w:tc>
          <w:tcPr>
            <w:tcW w:w="492" w:type="dxa"/>
          </w:tcPr>
          <w:p>
            <w:pPr>
              <w:pStyle w:val="TableParagraph"/>
              <w:rPr>
                <w:sz w:val="22"/>
              </w:rPr>
            </w:pPr>
          </w:p>
        </w:tc>
        <w:tc>
          <w:tcPr>
            <w:tcW w:w="504" w:type="dxa"/>
          </w:tcPr>
          <w:p>
            <w:pPr>
              <w:pStyle w:val="TableParagraph"/>
              <w:rPr>
                <w:sz w:val="22"/>
              </w:rPr>
            </w:pPr>
          </w:p>
        </w:tc>
        <w:tc>
          <w:tcPr>
            <w:tcW w:w="487" w:type="dxa"/>
          </w:tcPr>
          <w:p>
            <w:pPr>
              <w:pStyle w:val="TableParagraph"/>
              <w:rPr>
                <w:sz w:val="22"/>
              </w:rPr>
            </w:pPr>
          </w:p>
        </w:tc>
        <w:tc>
          <w:tcPr>
            <w:tcW w:w="418" w:type="dxa"/>
          </w:tcPr>
          <w:p>
            <w:pPr>
              <w:pStyle w:val="TableParagraph"/>
              <w:rPr>
                <w:sz w:val="22"/>
              </w:rPr>
            </w:pPr>
          </w:p>
        </w:tc>
        <w:tc>
          <w:tcPr>
            <w:tcW w:w="446" w:type="dxa"/>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280" w:hRule="atLeast"/>
        </w:trPr>
        <w:tc>
          <w:tcPr>
            <w:tcW w:w="16018" w:type="dxa"/>
            <w:gridSpan w:val="10"/>
            <w:shd w:val="clear" w:color="auto" w:fill="FFC000"/>
          </w:tcPr>
          <w:p>
            <w:pPr>
              <w:pStyle w:val="TableParagraph"/>
              <w:spacing w:before="1"/>
              <w:ind w:left="64"/>
              <w:rPr>
                <w:sz w:val="22"/>
              </w:rPr>
            </w:pPr>
            <w:r>
              <w:rPr>
                <w:w w:val="95"/>
                <w:sz w:val="22"/>
              </w:rPr>
              <w:t>CAO.A.090 Kayıtların saklanması</w:t>
            </w:r>
          </w:p>
        </w:tc>
      </w:tr>
      <w:tr>
        <w:trPr>
          <w:trHeight w:val="280" w:hRule="atLeast"/>
        </w:trPr>
        <w:tc>
          <w:tcPr>
            <w:tcW w:w="1560" w:type="dxa"/>
          </w:tcPr>
          <w:p>
            <w:pPr>
              <w:pStyle w:val="TableParagraph"/>
              <w:spacing w:before="10"/>
              <w:ind w:left="369" w:right="370"/>
              <w:jc w:val="center"/>
              <w:rPr>
                <w:sz w:val="22"/>
              </w:rPr>
            </w:pPr>
            <w:r>
              <w:rPr>
                <w:sz w:val="22"/>
              </w:rPr>
              <w:t>23</w:t>
            </w:r>
          </w:p>
        </w:tc>
        <w:tc>
          <w:tcPr>
            <w:tcW w:w="1843" w:type="dxa"/>
          </w:tcPr>
          <w:p>
            <w:pPr>
              <w:pStyle w:val="TableParagraph"/>
              <w:spacing w:before="10"/>
              <w:ind w:left="64"/>
              <w:rPr>
                <w:sz w:val="22"/>
              </w:rPr>
            </w:pPr>
            <w:r>
              <w:rPr>
                <w:w w:val="90"/>
                <w:sz w:val="22"/>
              </w:rPr>
              <w:t>CAO.A.090 (a)</w:t>
            </w:r>
          </w:p>
        </w:tc>
        <w:tc>
          <w:tcPr>
            <w:tcW w:w="4800" w:type="dxa"/>
          </w:tcPr>
          <w:p>
            <w:pPr>
              <w:pStyle w:val="TableParagraph"/>
              <w:spacing w:before="10"/>
              <w:ind w:left="65"/>
              <w:rPr>
                <w:sz w:val="22"/>
              </w:rPr>
            </w:pPr>
            <w:r>
              <w:rPr>
                <w:sz w:val="22"/>
              </w:rPr>
              <w:t>CAO CAO.A.090 (a)'da belirtilen kayıtları tutar.</w:t>
            </w:r>
          </w:p>
        </w:tc>
        <w:tc>
          <w:tcPr>
            <w:tcW w:w="497" w:type="dxa"/>
          </w:tcPr>
          <w:p>
            <w:pPr>
              <w:pStyle w:val="TableParagraph"/>
              <w:rPr>
                <w:sz w:val="20"/>
              </w:rPr>
            </w:pPr>
          </w:p>
        </w:tc>
        <w:tc>
          <w:tcPr>
            <w:tcW w:w="492" w:type="dxa"/>
          </w:tcPr>
          <w:p>
            <w:pPr>
              <w:pStyle w:val="TableParagraph"/>
              <w:rPr>
                <w:sz w:val="20"/>
              </w:rPr>
            </w:pPr>
          </w:p>
        </w:tc>
        <w:tc>
          <w:tcPr>
            <w:tcW w:w="504" w:type="dxa"/>
          </w:tcPr>
          <w:p>
            <w:pPr>
              <w:pStyle w:val="TableParagraph"/>
              <w:rPr>
                <w:sz w:val="20"/>
              </w:rPr>
            </w:pPr>
          </w:p>
        </w:tc>
        <w:tc>
          <w:tcPr>
            <w:tcW w:w="487" w:type="dxa"/>
          </w:tcPr>
          <w:p>
            <w:pPr>
              <w:pStyle w:val="TableParagraph"/>
              <w:rPr>
                <w:sz w:val="20"/>
              </w:rPr>
            </w:pPr>
          </w:p>
        </w:tc>
        <w:tc>
          <w:tcPr>
            <w:tcW w:w="418" w:type="dxa"/>
          </w:tcPr>
          <w:p>
            <w:pPr>
              <w:pStyle w:val="TableParagraph"/>
              <w:rPr>
                <w:sz w:val="20"/>
              </w:rPr>
            </w:pPr>
          </w:p>
        </w:tc>
        <w:tc>
          <w:tcPr>
            <w:tcW w:w="446" w:type="dxa"/>
          </w:tcPr>
          <w:p>
            <w:pPr>
              <w:pStyle w:val="TableParagraph"/>
              <w:rPr>
                <w:sz w:val="20"/>
              </w:rPr>
            </w:pPr>
          </w:p>
        </w:tc>
        <w:tc>
          <w:tcPr>
            <w:tcW w:w="4970" w:type="dxa"/>
            <w:tcBorders>
              <w:top w:val="nil"/>
              <w:left w:val="nil"/>
              <w:bottom w:val="nil"/>
              <w:right w:val="nil"/>
            </w:tcBorders>
            <w:shd w:val="clear" w:color="auto" w:fill="3366FF"/>
          </w:tcPr>
          <w:p>
            <w:pPr>
              <w:pStyle w:val="TableParagraph"/>
              <w:rPr>
                <w:sz w:val="20"/>
              </w:rPr>
            </w:pPr>
          </w:p>
        </w:tc>
      </w:tr>
      <w:tr>
        <w:trPr>
          <w:trHeight w:val="1060" w:hRule="atLeast"/>
        </w:trPr>
        <w:tc>
          <w:tcPr>
            <w:tcW w:w="1560" w:type="dxa"/>
          </w:tcPr>
          <w:p>
            <w:pPr>
              <w:pStyle w:val="TableParagraph"/>
              <w:spacing w:before="1"/>
              <w:rPr>
                <w:sz w:val="35"/>
              </w:rPr>
            </w:pPr>
          </w:p>
          <w:p>
            <w:pPr>
              <w:pStyle w:val="TableParagraph"/>
              <w:ind w:left="369" w:right="369"/>
              <w:jc w:val="center"/>
              <w:rPr>
                <w:sz w:val="22"/>
              </w:rPr>
            </w:pPr>
            <w:r>
              <w:rPr>
                <w:w w:val="95"/>
                <w:sz w:val="22"/>
              </w:rPr>
              <w:t>AAD-1</w:t>
            </w:r>
          </w:p>
        </w:tc>
        <w:tc>
          <w:tcPr>
            <w:tcW w:w="1843" w:type="dxa"/>
          </w:tcPr>
          <w:p>
            <w:pPr>
              <w:pStyle w:val="TableParagraph"/>
              <w:rPr>
                <w:sz w:val="22"/>
              </w:rPr>
            </w:pPr>
          </w:p>
        </w:tc>
        <w:tc>
          <w:tcPr>
            <w:tcW w:w="4800" w:type="dxa"/>
          </w:tcPr>
          <w:p>
            <w:pPr>
              <w:pStyle w:val="TableParagraph"/>
              <w:spacing w:line="254" w:lineRule="auto" w:before="1"/>
              <w:ind w:left="64" w:right="59"/>
              <w:jc w:val="both"/>
              <w:rPr>
                <w:sz w:val="22"/>
              </w:rPr>
            </w:pPr>
            <w:r>
              <w:rPr>
                <w:sz w:val="22"/>
              </w:rPr>
              <w:t>Bu Talimatın CRS yayınlanması konusundaki tüm gerekliliklerinin sağlandığını gösteren alt yüklenici servise    verme    dokümanları    dahil    tüm   bakım</w:t>
            </w:r>
          </w:p>
          <w:p>
            <w:pPr>
              <w:pStyle w:val="TableParagraph"/>
              <w:spacing w:line="248" w:lineRule="exact" w:before="1"/>
              <w:ind w:left="64"/>
              <w:jc w:val="both"/>
              <w:rPr>
                <w:sz w:val="22"/>
              </w:rPr>
            </w:pPr>
            <w:r>
              <w:rPr>
                <w:sz w:val="22"/>
              </w:rPr>
              <w:t>kayıtlarını tutar.</w:t>
            </w:r>
          </w:p>
        </w:tc>
        <w:tc>
          <w:tcPr>
            <w:tcW w:w="497" w:type="dxa"/>
          </w:tcPr>
          <w:p>
            <w:pPr>
              <w:pStyle w:val="TableParagraph"/>
              <w:rPr>
                <w:sz w:val="22"/>
              </w:rPr>
            </w:pPr>
          </w:p>
        </w:tc>
        <w:tc>
          <w:tcPr>
            <w:tcW w:w="492" w:type="dxa"/>
          </w:tcPr>
          <w:p>
            <w:pPr>
              <w:pStyle w:val="TableParagraph"/>
              <w:rPr>
                <w:sz w:val="22"/>
              </w:rPr>
            </w:pPr>
          </w:p>
        </w:tc>
        <w:tc>
          <w:tcPr>
            <w:tcW w:w="504" w:type="dxa"/>
          </w:tcPr>
          <w:p>
            <w:pPr>
              <w:pStyle w:val="TableParagraph"/>
              <w:rPr>
                <w:sz w:val="22"/>
              </w:rPr>
            </w:pPr>
          </w:p>
        </w:tc>
        <w:tc>
          <w:tcPr>
            <w:tcW w:w="487" w:type="dxa"/>
          </w:tcPr>
          <w:p>
            <w:pPr>
              <w:pStyle w:val="TableParagraph"/>
              <w:rPr>
                <w:sz w:val="22"/>
              </w:rPr>
            </w:pPr>
          </w:p>
        </w:tc>
        <w:tc>
          <w:tcPr>
            <w:tcW w:w="418" w:type="dxa"/>
          </w:tcPr>
          <w:p>
            <w:pPr>
              <w:pStyle w:val="TableParagraph"/>
              <w:rPr>
                <w:sz w:val="22"/>
              </w:rPr>
            </w:pPr>
          </w:p>
        </w:tc>
        <w:tc>
          <w:tcPr>
            <w:tcW w:w="446" w:type="dxa"/>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1060" w:hRule="atLeast"/>
        </w:trPr>
        <w:tc>
          <w:tcPr>
            <w:tcW w:w="1560" w:type="dxa"/>
          </w:tcPr>
          <w:p>
            <w:pPr>
              <w:pStyle w:val="TableParagraph"/>
              <w:spacing w:before="1"/>
              <w:rPr>
                <w:sz w:val="35"/>
              </w:rPr>
            </w:pPr>
          </w:p>
          <w:p>
            <w:pPr>
              <w:pStyle w:val="TableParagraph"/>
              <w:ind w:left="369" w:right="369"/>
              <w:jc w:val="center"/>
              <w:rPr>
                <w:sz w:val="22"/>
              </w:rPr>
            </w:pPr>
            <w:r>
              <w:rPr>
                <w:w w:val="95"/>
                <w:sz w:val="22"/>
              </w:rPr>
              <w:t>AAD-2</w:t>
            </w:r>
          </w:p>
        </w:tc>
        <w:tc>
          <w:tcPr>
            <w:tcW w:w="1843" w:type="dxa"/>
          </w:tcPr>
          <w:p>
            <w:pPr>
              <w:pStyle w:val="TableParagraph"/>
              <w:rPr>
                <w:sz w:val="22"/>
              </w:rPr>
            </w:pPr>
          </w:p>
        </w:tc>
        <w:tc>
          <w:tcPr>
            <w:tcW w:w="4800" w:type="dxa"/>
          </w:tcPr>
          <w:p>
            <w:pPr>
              <w:pStyle w:val="TableParagraph"/>
              <w:spacing w:line="254" w:lineRule="auto" w:before="1"/>
              <w:ind w:left="64" w:right="59"/>
              <w:jc w:val="both"/>
              <w:rPr>
                <w:sz w:val="22"/>
              </w:rPr>
            </w:pPr>
            <w:r>
              <w:rPr>
                <w:sz w:val="22"/>
              </w:rPr>
              <w:t>CAO,</w:t>
            </w:r>
            <w:r>
              <w:rPr>
                <w:spacing w:val="-34"/>
                <w:sz w:val="22"/>
              </w:rPr>
              <w:t> </w:t>
            </w:r>
            <w:r>
              <w:rPr>
                <w:sz w:val="22"/>
              </w:rPr>
              <w:t>tamir</w:t>
            </w:r>
            <w:r>
              <w:rPr>
                <w:spacing w:val="-33"/>
                <w:sz w:val="22"/>
              </w:rPr>
              <w:t> </w:t>
            </w:r>
            <w:r>
              <w:rPr>
                <w:sz w:val="22"/>
              </w:rPr>
              <w:t>ve</w:t>
            </w:r>
            <w:r>
              <w:rPr>
                <w:spacing w:val="-34"/>
                <w:sz w:val="22"/>
              </w:rPr>
              <w:t> </w:t>
            </w:r>
            <w:r>
              <w:rPr>
                <w:sz w:val="22"/>
              </w:rPr>
              <w:t>modifikasyonlar</w:t>
            </w:r>
            <w:r>
              <w:rPr>
                <w:spacing w:val="-33"/>
                <w:sz w:val="22"/>
              </w:rPr>
              <w:t> </w:t>
            </w:r>
            <w:r>
              <w:rPr>
                <w:sz w:val="22"/>
              </w:rPr>
              <w:t>için</w:t>
            </w:r>
            <w:r>
              <w:rPr>
                <w:spacing w:val="-35"/>
                <w:sz w:val="22"/>
              </w:rPr>
              <w:t> </w:t>
            </w:r>
            <w:r>
              <w:rPr>
                <w:sz w:val="22"/>
              </w:rPr>
              <w:t>kullanılan</w:t>
            </w:r>
            <w:r>
              <w:rPr>
                <w:spacing w:val="-35"/>
                <w:sz w:val="22"/>
              </w:rPr>
              <w:t> </w:t>
            </w:r>
            <w:r>
              <w:rPr>
                <w:sz w:val="22"/>
              </w:rPr>
              <w:t>spesifik tamir yada modifikasyon verilerinin kopyaları ile birlikte, </w:t>
            </w:r>
            <w:r>
              <w:rPr>
                <w:spacing w:val="11"/>
                <w:sz w:val="22"/>
              </w:rPr>
              <w:t> </w:t>
            </w:r>
            <w:r>
              <w:rPr>
                <w:sz w:val="22"/>
              </w:rPr>
              <w:t>her </w:t>
            </w:r>
            <w:r>
              <w:rPr>
                <w:spacing w:val="12"/>
                <w:sz w:val="22"/>
              </w:rPr>
              <w:t> </w:t>
            </w:r>
            <w:r>
              <w:rPr>
                <w:sz w:val="22"/>
              </w:rPr>
              <w:t>bir </w:t>
            </w:r>
            <w:r>
              <w:rPr>
                <w:spacing w:val="15"/>
                <w:sz w:val="22"/>
              </w:rPr>
              <w:t> </w:t>
            </w:r>
            <w:r>
              <w:rPr>
                <w:sz w:val="22"/>
              </w:rPr>
              <w:t>CRS'in </w:t>
            </w:r>
            <w:r>
              <w:rPr>
                <w:spacing w:val="12"/>
                <w:sz w:val="22"/>
              </w:rPr>
              <w:t> </w:t>
            </w:r>
            <w:r>
              <w:rPr>
                <w:sz w:val="22"/>
              </w:rPr>
              <w:t>bir </w:t>
            </w:r>
            <w:r>
              <w:rPr>
                <w:spacing w:val="15"/>
                <w:sz w:val="22"/>
              </w:rPr>
              <w:t> </w:t>
            </w:r>
            <w:r>
              <w:rPr>
                <w:sz w:val="22"/>
              </w:rPr>
              <w:t>kopyasını </w:t>
            </w:r>
            <w:r>
              <w:rPr>
                <w:spacing w:val="11"/>
                <w:sz w:val="22"/>
              </w:rPr>
              <w:t> </w:t>
            </w:r>
            <w:r>
              <w:rPr>
                <w:sz w:val="22"/>
              </w:rPr>
              <w:t>hava </w:t>
            </w:r>
            <w:r>
              <w:rPr>
                <w:spacing w:val="10"/>
                <w:sz w:val="22"/>
              </w:rPr>
              <w:t> </w:t>
            </w:r>
            <w:r>
              <w:rPr>
                <w:sz w:val="22"/>
              </w:rPr>
              <w:t>aracı</w:t>
            </w:r>
          </w:p>
          <w:p>
            <w:pPr>
              <w:pStyle w:val="TableParagraph"/>
              <w:spacing w:line="246" w:lineRule="exact"/>
              <w:ind w:left="64"/>
              <w:jc w:val="both"/>
              <w:rPr>
                <w:sz w:val="22"/>
              </w:rPr>
            </w:pPr>
            <w:r>
              <w:rPr>
                <w:sz w:val="22"/>
              </w:rPr>
              <w:t>sahibine sağlar.</w:t>
            </w:r>
          </w:p>
        </w:tc>
        <w:tc>
          <w:tcPr>
            <w:tcW w:w="497" w:type="dxa"/>
          </w:tcPr>
          <w:p>
            <w:pPr>
              <w:pStyle w:val="TableParagraph"/>
              <w:rPr>
                <w:sz w:val="22"/>
              </w:rPr>
            </w:pPr>
          </w:p>
        </w:tc>
        <w:tc>
          <w:tcPr>
            <w:tcW w:w="492" w:type="dxa"/>
          </w:tcPr>
          <w:p>
            <w:pPr>
              <w:pStyle w:val="TableParagraph"/>
              <w:rPr>
                <w:sz w:val="22"/>
              </w:rPr>
            </w:pPr>
          </w:p>
        </w:tc>
        <w:tc>
          <w:tcPr>
            <w:tcW w:w="504" w:type="dxa"/>
          </w:tcPr>
          <w:p>
            <w:pPr>
              <w:pStyle w:val="TableParagraph"/>
              <w:rPr>
                <w:sz w:val="22"/>
              </w:rPr>
            </w:pPr>
          </w:p>
        </w:tc>
        <w:tc>
          <w:tcPr>
            <w:tcW w:w="487" w:type="dxa"/>
          </w:tcPr>
          <w:p>
            <w:pPr>
              <w:pStyle w:val="TableParagraph"/>
              <w:rPr>
                <w:sz w:val="22"/>
              </w:rPr>
            </w:pPr>
          </w:p>
        </w:tc>
        <w:tc>
          <w:tcPr>
            <w:tcW w:w="418" w:type="dxa"/>
          </w:tcPr>
          <w:p>
            <w:pPr>
              <w:pStyle w:val="TableParagraph"/>
              <w:rPr>
                <w:sz w:val="22"/>
              </w:rPr>
            </w:pPr>
          </w:p>
        </w:tc>
        <w:tc>
          <w:tcPr>
            <w:tcW w:w="446" w:type="dxa"/>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800" w:hRule="atLeast"/>
        </w:trPr>
        <w:tc>
          <w:tcPr>
            <w:tcW w:w="1560" w:type="dxa"/>
          </w:tcPr>
          <w:p>
            <w:pPr>
              <w:pStyle w:val="TableParagraph"/>
              <w:spacing w:before="5"/>
              <w:rPr>
                <w:sz w:val="23"/>
              </w:rPr>
            </w:pPr>
          </w:p>
          <w:p>
            <w:pPr>
              <w:pStyle w:val="TableParagraph"/>
              <w:ind w:left="369" w:right="369"/>
              <w:jc w:val="center"/>
              <w:rPr>
                <w:sz w:val="22"/>
              </w:rPr>
            </w:pPr>
            <w:r>
              <w:rPr>
                <w:w w:val="95"/>
                <w:sz w:val="22"/>
              </w:rPr>
              <w:t>AAD-3</w:t>
            </w:r>
          </w:p>
        </w:tc>
        <w:tc>
          <w:tcPr>
            <w:tcW w:w="1843" w:type="dxa"/>
          </w:tcPr>
          <w:p>
            <w:pPr>
              <w:pStyle w:val="TableParagraph"/>
              <w:rPr>
                <w:sz w:val="22"/>
              </w:rPr>
            </w:pPr>
          </w:p>
        </w:tc>
        <w:tc>
          <w:tcPr>
            <w:tcW w:w="4800" w:type="dxa"/>
          </w:tcPr>
          <w:p>
            <w:pPr>
              <w:pStyle w:val="TableParagraph"/>
              <w:spacing w:line="254" w:lineRule="auto" w:before="1"/>
              <w:ind w:left="64" w:right="48"/>
              <w:rPr>
                <w:sz w:val="22"/>
              </w:rPr>
            </w:pPr>
            <w:r>
              <w:rPr>
                <w:sz w:val="22"/>
              </w:rPr>
              <w:t>Sürekli</w:t>
            </w:r>
            <w:r>
              <w:rPr>
                <w:spacing w:val="-35"/>
                <w:sz w:val="22"/>
              </w:rPr>
              <w:t> </w:t>
            </w:r>
            <w:r>
              <w:rPr>
                <w:sz w:val="22"/>
              </w:rPr>
              <w:t>uçuşa</w:t>
            </w:r>
            <w:r>
              <w:rPr>
                <w:spacing w:val="-35"/>
                <w:sz w:val="22"/>
              </w:rPr>
              <w:t> </w:t>
            </w:r>
            <w:r>
              <w:rPr>
                <w:sz w:val="22"/>
              </w:rPr>
              <w:t>elverişlilik</w:t>
            </w:r>
            <w:r>
              <w:rPr>
                <w:spacing w:val="-35"/>
                <w:sz w:val="22"/>
              </w:rPr>
              <w:t> </w:t>
            </w:r>
            <w:r>
              <w:rPr>
                <w:sz w:val="22"/>
              </w:rPr>
              <w:t>yönetimi</w:t>
            </w:r>
            <w:r>
              <w:rPr>
                <w:spacing w:val="-36"/>
                <w:sz w:val="22"/>
              </w:rPr>
              <w:t> </w:t>
            </w:r>
            <w:r>
              <w:rPr>
                <w:sz w:val="22"/>
              </w:rPr>
              <w:t>kayıtlarını</w:t>
            </w:r>
            <w:r>
              <w:rPr>
                <w:spacing w:val="-35"/>
                <w:sz w:val="22"/>
              </w:rPr>
              <w:t> </w:t>
            </w:r>
            <w:r>
              <w:rPr>
                <w:sz w:val="22"/>
              </w:rPr>
              <w:t>M.A.305 ve  geçerli  ise  M.A.306  maddesi  veya  </w:t>
            </w:r>
            <w:r>
              <w:rPr>
                <w:spacing w:val="12"/>
                <w:sz w:val="22"/>
              </w:rPr>
              <w:t> </w:t>
            </w:r>
            <w:r>
              <w:rPr>
                <w:sz w:val="22"/>
              </w:rPr>
              <w:t>ML.A.305</w:t>
            </w:r>
          </w:p>
          <w:p>
            <w:pPr>
              <w:pStyle w:val="TableParagraph"/>
              <w:spacing w:line="248" w:lineRule="exact" w:before="1"/>
              <w:ind w:left="64"/>
              <w:rPr>
                <w:sz w:val="22"/>
              </w:rPr>
            </w:pPr>
            <w:r>
              <w:rPr>
                <w:w w:val="105"/>
                <w:sz w:val="22"/>
              </w:rPr>
              <w:t>maddesi gereğince tutar.</w:t>
            </w:r>
          </w:p>
        </w:tc>
        <w:tc>
          <w:tcPr>
            <w:tcW w:w="497" w:type="dxa"/>
          </w:tcPr>
          <w:p>
            <w:pPr>
              <w:pStyle w:val="TableParagraph"/>
              <w:rPr>
                <w:sz w:val="22"/>
              </w:rPr>
            </w:pPr>
          </w:p>
        </w:tc>
        <w:tc>
          <w:tcPr>
            <w:tcW w:w="492" w:type="dxa"/>
          </w:tcPr>
          <w:p>
            <w:pPr>
              <w:pStyle w:val="TableParagraph"/>
              <w:rPr>
                <w:sz w:val="22"/>
              </w:rPr>
            </w:pPr>
          </w:p>
        </w:tc>
        <w:tc>
          <w:tcPr>
            <w:tcW w:w="504" w:type="dxa"/>
          </w:tcPr>
          <w:p>
            <w:pPr>
              <w:pStyle w:val="TableParagraph"/>
              <w:rPr>
                <w:sz w:val="22"/>
              </w:rPr>
            </w:pPr>
          </w:p>
        </w:tc>
        <w:tc>
          <w:tcPr>
            <w:tcW w:w="487" w:type="dxa"/>
          </w:tcPr>
          <w:p>
            <w:pPr>
              <w:pStyle w:val="TableParagraph"/>
              <w:rPr>
                <w:sz w:val="22"/>
              </w:rPr>
            </w:pPr>
          </w:p>
        </w:tc>
        <w:tc>
          <w:tcPr>
            <w:tcW w:w="418" w:type="dxa"/>
          </w:tcPr>
          <w:p>
            <w:pPr>
              <w:pStyle w:val="TableParagraph"/>
              <w:rPr>
                <w:sz w:val="22"/>
              </w:rPr>
            </w:pPr>
          </w:p>
        </w:tc>
        <w:tc>
          <w:tcPr>
            <w:tcW w:w="446" w:type="dxa"/>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bl>
    <w:p>
      <w:pPr>
        <w:spacing w:after="0"/>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8"/>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214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7"/>
              <w:rPr>
                <w:sz w:val="33"/>
              </w:rPr>
            </w:pPr>
          </w:p>
          <w:p>
            <w:pPr>
              <w:pStyle w:val="TableParagraph"/>
              <w:ind w:left="369" w:right="369"/>
              <w:jc w:val="center"/>
              <w:rPr>
                <w:sz w:val="22"/>
              </w:rPr>
            </w:pPr>
            <w:r>
              <w:rPr>
                <w:w w:val="95"/>
                <w:sz w:val="22"/>
              </w:rPr>
              <w:t>AAD-4</w:t>
            </w:r>
          </w:p>
        </w:tc>
        <w:tc>
          <w:tcPr>
            <w:tcW w:w="1843" w:type="dxa"/>
            <w:tcBorders>
              <w:left w:val="single" w:sz="4" w:space="0" w:color="3366FF"/>
              <w:bottom w:val="single" w:sz="4" w:space="0" w:color="3366FF"/>
              <w:right w:val="single" w:sz="4" w:space="0" w:color="3366FF"/>
            </w:tcBorders>
          </w:tcPr>
          <w:p>
            <w:pPr>
              <w:pStyle w:val="TableParagraph"/>
              <w:rPr>
                <w:sz w:val="22"/>
              </w:rPr>
            </w:pPr>
          </w:p>
        </w:tc>
        <w:tc>
          <w:tcPr>
            <w:tcW w:w="4800" w:type="dxa"/>
            <w:tcBorders>
              <w:left w:val="single" w:sz="4" w:space="0" w:color="3366FF"/>
              <w:bottom w:val="single" w:sz="4" w:space="0" w:color="3366FF"/>
              <w:right w:val="single" w:sz="4" w:space="0" w:color="3366FF"/>
            </w:tcBorders>
          </w:tcPr>
          <w:p>
            <w:pPr>
              <w:pStyle w:val="TableParagraph"/>
              <w:spacing w:line="254" w:lineRule="auto" w:before="1"/>
              <w:ind w:left="64" w:right="58"/>
              <w:jc w:val="both"/>
              <w:rPr>
                <w:sz w:val="22"/>
              </w:rPr>
            </w:pPr>
            <w:r>
              <w:rPr>
                <w:sz w:val="22"/>
              </w:rPr>
              <w:t>CAO'nun CAO.A.095 (c) maddesinde belirtilen yetkiye sahip olması durumunda, ML.A.901 (a) maddesi kapsamında yayınlamış olduğu her bir uçuşa</w:t>
            </w:r>
            <w:r>
              <w:rPr>
                <w:spacing w:val="-30"/>
                <w:sz w:val="22"/>
              </w:rPr>
              <w:t> </w:t>
            </w:r>
            <w:r>
              <w:rPr>
                <w:sz w:val="22"/>
              </w:rPr>
              <w:t>elverişlilik</w:t>
            </w:r>
            <w:r>
              <w:rPr>
                <w:spacing w:val="-30"/>
                <w:sz w:val="22"/>
              </w:rPr>
              <w:t> </w:t>
            </w:r>
            <w:r>
              <w:rPr>
                <w:sz w:val="22"/>
              </w:rPr>
              <w:t>gözden</w:t>
            </w:r>
            <w:r>
              <w:rPr>
                <w:spacing w:val="-30"/>
                <w:sz w:val="22"/>
              </w:rPr>
              <w:t> </w:t>
            </w:r>
            <w:r>
              <w:rPr>
                <w:sz w:val="22"/>
              </w:rPr>
              <w:t>geçirme</w:t>
            </w:r>
            <w:r>
              <w:rPr>
                <w:spacing w:val="-30"/>
                <w:sz w:val="22"/>
              </w:rPr>
              <w:t> </w:t>
            </w:r>
            <w:r>
              <w:rPr>
                <w:sz w:val="22"/>
              </w:rPr>
              <w:t>sertifikasının</w:t>
            </w:r>
            <w:r>
              <w:rPr>
                <w:spacing w:val="-30"/>
                <w:sz w:val="22"/>
              </w:rPr>
              <w:t> </w:t>
            </w:r>
            <w:r>
              <w:rPr>
                <w:sz w:val="22"/>
              </w:rPr>
              <w:t>(ARC) ve tavsiye raporunun veya uçuşa elverişlilik gözden geçirme sertifikalarının uzatma işlemlerinin bir kopyasını   destekleyici   tüm   dokümanlarla</w:t>
            </w:r>
            <w:r>
              <w:rPr>
                <w:spacing w:val="8"/>
                <w:sz w:val="22"/>
              </w:rPr>
              <w:t> </w:t>
            </w:r>
            <w:r>
              <w:rPr>
                <w:sz w:val="22"/>
              </w:rPr>
              <w:t>birlikte</w:t>
            </w:r>
          </w:p>
          <w:p>
            <w:pPr>
              <w:pStyle w:val="TableParagraph"/>
              <w:spacing w:line="248" w:lineRule="exact" w:before="1"/>
              <w:ind w:left="64"/>
              <w:jc w:val="both"/>
              <w:rPr>
                <w:sz w:val="22"/>
              </w:rPr>
            </w:pPr>
            <w:r>
              <w:rPr>
                <w:w w:val="105"/>
                <w:sz w:val="22"/>
              </w:rPr>
              <w:t>kayıt altında tutar.</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10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
              <w:rPr>
                <w:sz w:val="35"/>
              </w:rPr>
            </w:pPr>
          </w:p>
          <w:p>
            <w:pPr>
              <w:pStyle w:val="TableParagraph"/>
              <w:ind w:left="369" w:right="369"/>
              <w:jc w:val="center"/>
              <w:rPr>
                <w:sz w:val="22"/>
              </w:rPr>
            </w:pPr>
            <w:r>
              <w:rPr>
                <w:w w:val="95"/>
                <w:sz w:val="22"/>
              </w:rPr>
              <w:t>AAD-5</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9"/>
              <w:jc w:val="both"/>
              <w:rPr>
                <w:sz w:val="22"/>
              </w:rPr>
            </w:pPr>
            <w:r>
              <w:rPr>
                <w:sz w:val="22"/>
              </w:rPr>
              <w:t>CAO'nun CAO.A.095 (d) maddesinde belirtilen yetkiye sahip olması durumunda, 21.A.729 maddesi kapsamında yayınlamış olduğu her bir özel uçuş izni</w:t>
            </w:r>
          </w:p>
          <w:p>
            <w:pPr>
              <w:pStyle w:val="TableParagraph"/>
              <w:spacing w:line="248" w:lineRule="exact" w:before="1"/>
              <w:ind w:left="64"/>
              <w:jc w:val="both"/>
              <w:rPr>
                <w:sz w:val="22"/>
              </w:rPr>
            </w:pPr>
            <w:r>
              <w:rPr>
                <w:sz w:val="22"/>
              </w:rPr>
              <w:t>onaylarının kayıtlarını tutar.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34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8"/>
              <w:rPr>
                <w:sz w:val="19"/>
              </w:rPr>
            </w:pPr>
          </w:p>
          <w:p>
            <w:pPr>
              <w:pStyle w:val="TableParagraph"/>
              <w:ind w:left="369" w:right="370"/>
              <w:jc w:val="center"/>
              <w:rPr>
                <w:sz w:val="22"/>
              </w:rPr>
            </w:pPr>
            <w:r>
              <w:rPr>
                <w:sz w:val="22"/>
              </w:rPr>
              <w:t>24</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8"/>
              <w:rPr>
                <w:sz w:val="19"/>
              </w:rPr>
            </w:pPr>
          </w:p>
          <w:p>
            <w:pPr>
              <w:pStyle w:val="TableParagraph"/>
              <w:ind w:left="64"/>
              <w:rPr>
                <w:sz w:val="22"/>
              </w:rPr>
            </w:pPr>
            <w:r>
              <w:rPr>
                <w:w w:val="90"/>
                <w:sz w:val="22"/>
              </w:rPr>
              <w:t>CAO.A.090 (b)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spacing w:before="7"/>
              <w:rPr>
                <w:sz w:val="32"/>
              </w:rPr>
            </w:pPr>
          </w:p>
          <w:p>
            <w:pPr>
              <w:pStyle w:val="TableParagraph"/>
              <w:spacing w:line="254" w:lineRule="auto"/>
              <w:ind w:left="64" w:right="58"/>
              <w:jc w:val="both"/>
              <w:rPr>
                <w:sz w:val="22"/>
              </w:rPr>
            </w:pPr>
            <w:r>
              <w:rPr>
                <w:sz w:val="22"/>
              </w:rPr>
              <w:t>CAO, (CAO.A.090 a(1)) maddesinde belirtilen kayıtları ve ilgili bakım verilerini bakım işleminin uygulandığı hava aracı veya komponentin servise verildiği tarihten itibaren 3 yıl süre ile saklar.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tabs>
                <w:tab w:pos="3350" w:val="left" w:leader="none"/>
                <w:tab w:pos="4400" w:val="left" w:leader="none"/>
              </w:tabs>
              <w:spacing w:line="254" w:lineRule="auto" w:before="1"/>
              <w:ind w:left="69" w:right="64"/>
              <w:jc w:val="both"/>
              <w:rPr>
                <w:sz w:val="22"/>
              </w:rPr>
            </w:pPr>
            <w:r>
              <w:rPr>
                <w:color w:val="FFFFFF"/>
                <w:w w:val="95"/>
                <w:sz w:val="22"/>
              </w:rPr>
              <w:t>CAO.A.090a(1)</w:t>
              <w:tab/>
              <w:t>a.)</w:t>
            </w:r>
            <w:r>
              <w:rPr>
                <w:color w:val="FFFFFF"/>
                <w:spacing w:val="-5"/>
                <w:w w:val="95"/>
                <w:sz w:val="22"/>
              </w:rPr>
              <w:t> </w:t>
            </w:r>
            <w:r>
              <w:rPr>
                <w:color w:val="FFFFFF"/>
                <w:w w:val="95"/>
                <w:sz w:val="22"/>
              </w:rPr>
              <w:t>CAO</w:t>
            </w:r>
            <w:r>
              <w:rPr>
                <w:color w:val="FFFFFF"/>
                <w:spacing w:val="-2"/>
                <w:w w:val="95"/>
                <w:sz w:val="22"/>
              </w:rPr>
              <w:t> </w:t>
            </w:r>
            <w:r>
              <w:rPr>
                <w:color w:val="FFFFFF"/>
                <w:w w:val="95"/>
                <w:sz w:val="22"/>
              </w:rPr>
              <w:t>aşağıdaki</w:t>
            </w:r>
            <w:r>
              <w:rPr>
                <w:color w:val="FFFFFF"/>
                <w:w w:val="82"/>
                <w:sz w:val="22"/>
              </w:rPr>
              <w:t> </w:t>
            </w:r>
            <w:r>
              <w:rPr>
                <w:color w:val="FFFFFF"/>
                <w:sz w:val="22"/>
              </w:rPr>
              <w:t>kayıtları</w:t>
              <w:tab/>
              <w:tab/>
            </w:r>
            <w:r>
              <w:rPr>
                <w:color w:val="FFFFFF"/>
                <w:spacing w:val="-1"/>
                <w:sz w:val="22"/>
              </w:rPr>
              <w:t>tutar.</w:t>
            </w:r>
          </w:p>
          <w:p>
            <w:pPr>
              <w:pStyle w:val="TableParagraph"/>
              <w:spacing w:line="254" w:lineRule="auto" w:before="1"/>
              <w:ind w:left="69" w:right="66"/>
              <w:jc w:val="both"/>
              <w:rPr>
                <w:sz w:val="22"/>
              </w:rPr>
            </w:pPr>
            <w:r>
              <w:rPr>
                <w:color w:val="FFFFFF"/>
                <w:sz w:val="22"/>
              </w:rPr>
              <w:t>1.) Bu Talimatın CRS yayınlanması konusundaki tüm gerekliliklerinin sağlandığını gösteren alt yüklenici servise verme dokümanları dahil tüm bakım</w:t>
            </w:r>
            <w:r>
              <w:rPr>
                <w:color w:val="FFFFFF"/>
                <w:spacing w:val="-26"/>
                <w:sz w:val="22"/>
              </w:rPr>
              <w:t> </w:t>
            </w:r>
            <w:r>
              <w:rPr>
                <w:color w:val="FFFFFF"/>
                <w:sz w:val="22"/>
              </w:rPr>
              <w:t>kayıtlarını tutar.</w:t>
            </w:r>
          </w:p>
          <w:p>
            <w:pPr>
              <w:pStyle w:val="TableParagraph"/>
              <w:spacing w:line="254" w:lineRule="auto" w:before="1"/>
              <w:ind w:left="69" w:right="67"/>
              <w:jc w:val="both"/>
              <w:rPr>
                <w:sz w:val="22"/>
              </w:rPr>
            </w:pPr>
            <w:r>
              <w:rPr>
                <w:color w:val="FFFFFF"/>
                <w:sz w:val="22"/>
              </w:rPr>
              <w:t>CAO, tamir ve modifikasyonlar için kullanılan</w:t>
            </w:r>
            <w:r>
              <w:rPr>
                <w:color w:val="FFFFFF"/>
                <w:spacing w:val="-36"/>
                <w:sz w:val="22"/>
              </w:rPr>
              <w:t> </w:t>
            </w:r>
            <w:r>
              <w:rPr>
                <w:color w:val="FFFFFF"/>
                <w:sz w:val="22"/>
              </w:rPr>
              <w:t>spesifik tamir yada modifikasyon verilerinin kopyaları ile birlikte,</w:t>
            </w:r>
            <w:r>
              <w:rPr>
                <w:color w:val="FFFFFF"/>
                <w:spacing w:val="-18"/>
                <w:sz w:val="22"/>
              </w:rPr>
              <w:t> </w:t>
            </w:r>
            <w:r>
              <w:rPr>
                <w:color w:val="FFFFFF"/>
                <w:sz w:val="22"/>
              </w:rPr>
              <w:t>her</w:t>
            </w:r>
            <w:r>
              <w:rPr>
                <w:color w:val="FFFFFF"/>
                <w:spacing w:val="-18"/>
                <w:sz w:val="22"/>
              </w:rPr>
              <w:t> </w:t>
            </w:r>
            <w:r>
              <w:rPr>
                <w:color w:val="FFFFFF"/>
                <w:sz w:val="22"/>
              </w:rPr>
              <w:t>bir</w:t>
            </w:r>
            <w:r>
              <w:rPr>
                <w:color w:val="FFFFFF"/>
                <w:spacing w:val="-19"/>
                <w:sz w:val="22"/>
              </w:rPr>
              <w:t> </w:t>
            </w:r>
            <w:r>
              <w:rPr>
                <w:color w:val="FFFFFF"/>
                <w:sz w:val="22"/>
              </w:rPr>
              <w:t>CRS'in</w:t>
            </w:r>
            <w:r>
              <w:rPr>
                <w:color w:val="FFFFFF"/>
                <w:spacing w:val="-18"/>
                <w:sz w:val="22"/>
              </w:rPr>
              <w:t> </w:t>
            </w:r>
            <w:r>
              <w:rPr>
                <w:color w:val="FFFFFF"/>
                <w:sz w:val="22"/>
              </w:rPr>
              <w:t>bir</w:t>
            </w:r>
            <w:r>
              <w:rPr>
                <w:color w:val="FFFFFF"/>
                <w:spacing w:val="-19"/>
                <w:sz w:val="22"/>
              </w:rPr>
              <w:t> </w:t>
            </w:r>
            <w:r>
              <w:rPr>
                <w:color w:val="FFFFFF"/>
                <w:sz w:val="22"/>
              </w:rPr>
              <w:t>kopyasını</w:t>
            </w:r>
            <w:r>
              <w:rPr>
                <w:color w:val="FFFFFF"/>
                <w:spacing w:val="-18"/>
                <w:sz w:val="22"/>
              </w:rPr>
              <w:t> </w:t>
            </w:r>
            <w:r>
              <w:rPr>
                <w:color w:val="FFFFFF"/>
                <w:sz w:val="22"/>
              </w:rPr>
              <w:t>hava</w:t>
            </w:r>
            <w:r>
              <w:rPr>
                <w:color w:val="FFFFFF"/>
                <w:spacing w:val="-18"/>
                <w:sz w:val="22"/>
              </w:rPr>
              <w:t> </w:t>
            </w:r>
            <w:r>
              <w:rPr>
                <w:color w:val="FFFFFF"/>
                <w:sz w:val="22"/>
              </w:rPr>
              <w:t>aracı</w:t>
            </w:r>
            <w:r>
              <w:rPr>
                <w:color w:val="FFFFFF"/>
                <w:spacing w:val="-19"/>
                <w:sz w:val="22"/>
              </w:rPr>
              <w:t> </w:t>
            </w:r>
            <w:r>
              <w:rPr>
                <w:color w:val="FFFFFF"/>
                <w:sz w:val="22"/>
              </w:rPr>
              <w:t>sahibine sağlar</w:t>
            </w:r>
          </w:p>
        </w:tc>
      </w:tr>
    </w:tbl>
    <w:p>
      <w:pPr>
        <w:spacing w:after="0" w:line="254" w:lineRule="auto"/>
        <w:jc w:val="both"/>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spacing w:before="6"/>
        <w:rPr>
          <w:sz w:val="26"/>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2"/>
        <w:gridCol w:w="4975"/>
      </w:tblGrid>
      <w:tr>
        <w:trPr>
          <w:trHeight w:val="406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
              <w:rPr>
                <w:sz w:val="20"/>
              </w:rPr>
            </w:pPr>
          </w:p>
          <w:p>
            <w:pPr>
              <w:pStyle w:val="TableParagraph"/>
              <w:spacing w:before="1"/>
              <w:ind w:left="369" w:right="370"/>
              <w:jc w:val="center"/>
              <w:rPr>
                <w:sz w:val="22"/>
              </w:rPr>
            </w:pPr>
            <w:r>
              <w:rPr>
                <w:sz w:val="22"/>
              </w:rPr>
              <w:t>25</w:t>
            </w:r>
          </w:p>
        </w:tc>
        <w:tc>
          <w:tcPr>
            <w:tcW w:w="1843" w:type="dxa"/>
            <w:tcBorders>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
              <w:rPr>
                <w:sz w:val="20"/>
              </w:rPr>
            </w:pPr>
          </w:p>
          <w:p>
            <w:pPr>
              <w:pStyle w:val="TableParagraph"/>
              <w:spacing w:before="1"/>
              <w:ind w:left="64"/>
              <w:rPr>
                <w:sz w:val="22"/>
              </w:rPr>
            </w:pPr>
            <w:r>
              <w:rPr>
                <w:w w:val="90"/>
                <w:sz w:val="22"/>
              </w:rPr>
              <w:t>CAO.A.090 (c)</w:t>
            </w:r>
          </w:p>
        </w:tc>
        <w:tc>
          <w:tcPr>
            <w:tcW w:w="4800" w:type="dxa"/>
            <w:tcBorders>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
              <w:rPr>
                <w:sz w:val="34"/>
              </w:rPr>
            </w:pPr>
          </w:p>
          <w:p>
            <w:pPr>
              <w:pStyle w:val="TableParagraph"/>
              <w:ind w:left="64"/>
              <w:jc w:val="both"/>
              <w:rPr>
                <w:sz w:val="22"/>
              </w:rPr>
            </w:pPr>
            <w:r>
              <w:rPr>
                <w:sz w:val="22"/>
              </w:rPr>
              <w:t>CAO,    (CAO.A.090    a.2)    ila    (CAO.A.090 a.4)</w:t>
            </w:r>
          </w:p>
          <w:p>
            <w:pPr>
              <w:pStyle w:val="TableParagraph"/>
              <w:spacing w:line="254" w:lineRule="auto" w:before="13"/>
              <w:ind w:left="64" w:right="58"/>
              <w:jc w:val="both"/>
              <w:rPr>
                <w:sz w:val="22"/>
              </w:rPr>
            </w:pPr>
            <w:r>
              <w:rPr>
                <w:sz w:val="22"/>
              </w:rPr>
              <w:t>maddelerinde belirtilen kayıtları ilgili hava aracının kalıcı olarak servisten çekildiği tarihten itibaren 3 yıl süre ile saklar.</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2" w:type="dxa"/>
            <w:tcBorders>
              <w:left w:val="single" w:sz="4" w:space="0" w:color="3366FF"/>
              <w:bottom w:val="single" w:sz="4" w:space="0" w:color="3366FF"/>
              <w:right w:val="nil"/>
            </w:tcBorders>
          </w:tcPr>
          <w:p>
            <w:pPr>
              <w:pStyle w:val="TableParagraph"/>
              <w:rPr>
                <w:sz w:val="22"/>
              </w:rPr>
            </w:pPr>
          </w:p>
        </w:tc>
        <w:tc>
          <w:tcPr>
            <w:tcW w:w="4975" w:type="dxa"/>
            <w:tcBorders>
              <w:left w:val="nil"/>
              <w:bottom w:val="nil"/>
              <w:right w:val="nil"/>
            </w:tcBorders>
            <w:shd w:val="clear" w:color="auto" w:fill="3366FF"/>
          </w:tcPr>
          <w:p>
            <w:pPr>
              <w:pStyle w:val="TableParagraph"/>
              <w:tabs>
                <w:tab w:pos="3535" w:val="left" w:leader="none"/>
                <w:tab w:pos="4403" w:val="left" w:leader="none"/>
              </w:tabs>
              <w:spacing w:line="254" w:lineRule="auto" w:before="1"/>
              <w:ind w:left="74" w:right="66"/>
              <w:jc w:val="both"/>
              <w:rPr>
                <w:sz w:val="22"/>
              </w:rPr>
            </w:pPr>
            <w:r>
              <w:rPr>
                <w:color w:val="FFFFFF"/>
                <w:w w:val="95"/>
                <w:sz w:val="22"/>
              </w:rPr>
              <w:t>CAO.A.090a(2)</w:t>
              <w:tab/>
              <w:t>2.)</w:t>
            </w:r>
            <w:r>
              <w:rPr>
                <w:color w:val="FFFFFF"/>
                <w:spacing w:val="20"/>
                <w:w w:val="95"/>
                <w:sz w:val="22"/>
              </w:rPr>
              <w:t> </w:t>
            </w:r>
            <w:r>
              <w:rPr>
                <w:color w:val="FFFFFF"/>
                <w:w w:val="95"/>
                <w:sz w:val="22"/>
              </w:rPr>
              <w:t>Aşağıdakiler</w:t>
            </w:r>
            <w:r>
              <w:rPr>
                <w:color w:val="FFFFFF"/>
                <w:w w:val="104"/>
                <w:sz w:val="22"/>
              </w:rPr>
              <w:t> </w:t>
            </w:r>
            <w:r>
              <w:rPr>
                <w:color w:val="FFFFFF"/>
                <w:sz w:val="22"/>
              </w:rPr>
              <w:t>kapsamındaki sürekli uçuşa elverişlilik yönetimi kayıtlarını</w:t>
              <w:tab/>
              <w:tab/>
            </w:r>
            <w:r>
              <w:rPr>
                <w:color w:val="FFFFFF"/>
                <w:spacing w:val="-1"/>
                <w:sz w:val="22"/>
              </w:rPr>
              <w:t>tutar.</w:t>
            </w:r>
          </w:p>
          <w:p>
            <w:pPr>
              <w:pStyle w:val="TableParagraph"/>
              <w:tabs>
                <w:tab w:pos="1858" w:val="left" w:leader="none"/>
                <w:tab w:pos="2800" w:val="left" w:leader="none"/>
                <w:tab w:pos="4093" w:val="left" w:leader="none"/>
              </w:tabs>
              <w:spacing w:line="254" w:lineRule="auto" w:before="1"/>
              <w:ind w:left="74" w:right="65"/>
              <w:jc w:val="both"/>
              <w:rPr>
                <w:sz w:val="22"/>
              </w:rPr>
            </w:pPr>
            <w:r>
              <w:rPr>
                <w:color w:val="FFFFFF"/>
                <w:sz w:val="22"/>
              </w:rPr>
              <w:t>(2.i) M.A.305  ve  geçerli  ise  M.A.306  maddesi, (2.ii)</w:t>
              <w:tab/>
            </w:r>
            <w:r>
              <w:rPr>
                <w:color w:val="FFFFFF"/>
                <w:w w:val="95"/>
                <w:sz w:val="22"/>
              </w:rPr>
              <w:t>ML.A.305</w:t>
              <w:tab/>
              <w:tab/>
            </w:r>
            <w:r>
              <w:rPr>
                <w:color w:val="FFFFFF"/>
                <w:sz w:val="22"/>
              </w:rPr>
              <w:t>maddesi. </w:t>
            </w:r>
            <w:r>
              <w:rPr>
                <w:color w:val="FFFFFF"/>
                <w:w w:val="95"/>
                <w:sz w:val="22"/>
              </w:rPr>
              <w:t>CAO.A.090a(4)</w:t>
              <w:tab/>
              <w:tab/>
              <w:t>CAO'nun</w:t>
            </w:r>
            <w:r>
              <w:rPr>
                <w:color w:val="FFFFFF"/>
                <w:spacing w:val="-27"/>
                <w:w w:val="95"/>
                <w:sz w:val="22"/>
              </w:rPr>
              <w:t> </w:t>
            </w:r>
            <w:r>
              <w:rPr>
                <w:color w:val="FFFFFF"/>
                <w:w w:val="95"/>
                <w:sz w:val="22"/>
              </w:rPr>
              <w:t>CAO.A.095</w:t>
            </w:r>
            <w:r>
              <w:rPr>
                <w:color w:val="FFFFFF"/>
                <w:spacing w:val="-26"/>
                <w:w w:val="95"/>
                <w:sz w:val="22"/>
              </w:rPr>
              <w:t> </w:t>
            </w:r>
            <w:r>
              <w:rPr>
                <w:color w:val="FFFFFF"/>
                <w:w w:val="95"/>
                <w:sz w:val="22"/>
              </w:rPr>
              <w:t>(d)</w:t>
            </w:r>
          </w:p>
          <w:p>
            <w:pPr>
              <w:pStyle w:val="TableParagraph"/>
              <w:spacing w:line="254" w:lineRule="auto" w:before="1"/>
              <w:ind w:left="74" w:right="64"/>
              <w:jc w:val="both"/>
              <w:rPr>
                <w:sz w:val="22"/>
              </w:rPr>
            </w:pPr>
            <w:r>
              <w:rPr>
                <w:color w:val="FFFFFF"/>
                <w:sz w:val="22"/>
              </w:rPr>
              <w:t>maddesinde belirtilen yetkiye sahip  olması durumunda, 21.A.729 maddesi kapsamında</w:t>
            </w:r>
            <w:r>
              <w:rPr>
                <w:color w:val="FFFFFF"/>
                <w:spacing w:val="-32"/>
                <w:sz w:val="22"/>
              </w:rPr>
              <w:t> </w:t>
            </w:r>
            <w:r>
              <w:rPr>
                <w:color w:val="FFFFFF"/>
                <w:sz w:val="22"/>
              </w:rPr>
              <w:t>yayınlamış olduğu her bir özel uçuş izni onaylarının kayıtlarını tutar.</w:t>
            </w:r>
          </w:p>
        </w:tc>
      </w:tr>
      <w:tr>
        <w:trPr>
          <w:trHeight w:val="5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57"/>
              <w:ind w:left="369" w:right="370"/>
              <w:jc w:val="center"/>
              <w:rPr>
                <w:sz w:val="22"/>
              </w:rPr>
            </w:pPr>
            <w:r>
              <w:rPr>
                <w:sz w:val="22"/>
              </w:rPr>
              <w:t>26</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157"/>
              <w:ind w:left="64"/>
              <w:rPr>
                <w:sz w:val="22"/>
              </w:rPr>
            </w:pPr>
            <w:r>
              <w:rPr>
                <w:w w:val="90"/>
                <w:sz w:val="22"/>
              </w:rPr>
              <w:t>CAO.A.090 (d)</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22"/>
              <w:ind w:left="64" w:right="59"/>
              <w:rPr>
                <w:sz w:val="22"/>
              </w:rPr>
            </w:pPr>
            <w:r>
              <w:rPr>
                <w:sz w:val="22"/>
              </w:rPr>
              <w:t>Tüm kayıtlar, hasar, değişiklik veya hırsızlığa karşı korumalı bir şekilde saklanır.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2" w:type="dxa"/>
            <w:tcBorders>
              <w:top w:val="single" w:sz="4" w:space="0" w:color="3366FF"/>
              <w:left w:val="single" w:sz="4" w:space="0" w:color="3366FF"/>
              <w:bottom w:val="single" w:sz="4" w:space="0" w:color="3366FF"/>
              <w:right w:val="nil"/>
            </w:tcBorders>
          </w:tcPr>
          <w:p>
            <w:pPr>
              <w:pStyle w:val="TableParagraph"/>
              <w:rPr>
                <w:sz w:val="22"/>
              </w:rPr>
            </w:pPr>
          </w:p>
        </w:tc>
        <w:tc>
          <w:tcPr>
            <w:tcW w:w="4975" w:type="dxa"/>
            <w:tcBorders>
              <w:top w:val="nil"/>
              <w:left w:val="nil"/>
              <w:bottom w:val="nil"/>
              <w:right w:val="nil"/>
            </w:tcBorders>
            <w:shd w:val="clear" w:color="auto" w:fill="3366FF"/>
          </w:tcPr>
          <w:p>
            <w:pPr>
              <w:pStyle w:val="TableParagraph"/>
              <w:rPr>
                <w:sz w:val="22"/>
              </w:rPr>
            </w:pPr>
          </w:p>
        </w:tc>
      </w:tr>
      <w:tr>
        <w:trPr>
          <w:trHeight w:val="10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
              <w:rPr>
                <w:sz w:val="35"/>
              </w:rPr>
            </w:pPr>
          </w:p>
          <w:p>
            <w:pPr>
              <w:pStyle w:val="TableParagraph"/>
              <w:ind w:left="369" w:right="370"/>
              <w:jc w:val="center"/>
              <w:rPr>
                <w:sz w:val="22"/>
              </w:rPr>
            </w:pPr>
            <w:r>
              <w:rPr>
                <w:sz w:val="22"/>
              </w:rPr>
              <w:t>27</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1"/>
              <w:rPr>
                <w:sz w:val="35"/>
              </w:rPr>
            </w:pPr>
          </w:p>
          <w:p>
            <w:pPr>
              <w:pStyle w:val="TableParagraph"/>
              <w:ind w:left="64"/>
              <w:rPr>
                <w:sz w:val="22"/>
              </w:rPr>
            </w:pPr>
            <w:r>
              <w:rPr>
                <w:w w:val="90"/>
                <w:sz w:val="22"/>
              </w:rPr>
              <w:t>CAO.A.090 (e)</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9"/>
              <w:jc w:val="both"/>
              <w:rPr>
                <w:sz w:val="22"/>
              </w:rPr>
            </w:pPr>
            <w:r>
              <w:rPr>
                <w:sz w:val="22"/>
              </w:rPr>
              <w:t>Bakım kayıtlarının yedeğinin tutulduğu tüm bilgisayar donanımları söz konusu verilerin bulunduğu   ortamdan   farklı   bir   yerde   ve uygun</w:t>
            </w:r>
          </w:p>
          <w:p>
            <w:pPr>
              <w:pStyle w:val="TableParagraph"/>
              <w:spacing w:line="248" w:lineRule="exact" w:before="1"/>
              <w:ind w:left="64"/>
              <w:jc w:val="both"/>
              <w:rPr>
                <w:sz w:val="22"/>
              </w:rPr>
            </w:pPr>
            <w:r>
              <w:rPr>
                <w:sz w:val="22"/>
              </w:rPr>
              <w:t>koşullarda tutulur.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2" w:type="dxa"/>
            <w:tcBorders>
              <w:top w:val="single" w:sz="4" w:space="0" w:color="3366FF"/>
              <w:left w:val="single" w:sz="4" w:space="0" w:color="3366FF"/>
              <w:bottom w:val="single" w:sz="4" w:space="0" w:color="3366FF"/>
              <w:right w:val="nil"/>
            </w:tcBorders>
          </w:tcPr>
          <w:p>
            <w:pPr>
              <w:pStyle w:val="TableParagraph"/>
              <w:rPr>
                <w:sz w:val="22"/>
              </w:rPr>
            </w:pPr>
          </w:p>
        </w:tc>
        <w:tc>
          <w:tcPr>
            <w:tcW w:w="4975" w:type="dxa"/>
            <w:tcBorders>
              <w:top w:val="nil"/>
              <w:left w:val="nil"/>
              <w:bottom w:val="nil"/>
              <w:right w:val="nil"/>
            </w:tcBorders>
            <w:shd w:val="clear" w:color="auto" w:fill="3366FF"/>
          </w:tcPr>
          <w:p>
            <w:pPr>
              <w:pStyle w:val="TableParagraph"/>
              <w:rPr>
                <w:sz w:val="22"/>
              </w:rPr>
            </w:pPr>
          </w:p>
        </w:tc>
      </w:tr>
      <w:tr>
        <w:trPr>
          <w:trHeight w:val="18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2"/>
              <w:rPr>
                <w:sz w:val="22"/>
              </w:rPr>
            </w:pPr>
          </w:p>
          <w:p>
            <w:pPr>
              <w:pStyle w:val="TableParagraph"/>
              <w:ind w:left="369" w:right="370"/>
              <w:jc w:val="center"/>
              <w:rPr>
                <w:sz w:val="22"/>
              </w:rPr>
            </w:pPr>
            <w:r>
              <w:rPr>
                <w:sz w:val="22"/>
              </w:rPr>
              <w:t>28</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2"/>
              <w:rPr>
                <w:sz w:val="22"/>
              </w:rPr>
            </w:pPr>
          </w:p>
          <w:p>
            <w:pPr>
              <w:pStyle w:val="TableParagraph"/>
              <w:ind w:left="64"/>
              <w:rPr>
                <w:sz w:val="22"/>
              </w:rPr>
            </w:pPr>
            <w:r>
              <w:rPr>
                <w:w w:val="90"/>
                <w:sz w:val="22"/>
              </w:rPr>
              <w:t>CAO.A.090 (f)</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7"/>
              <w:jc w:val="both"/>
              <w:rPr>
                <w:sz w:val="22"/>
              </w:rPr>
            </w:pPr>
            <w:r>
              <w:rPr>
                <w:sz w:val="22"/>
              </w:rPr>
              <w:t>Bir hava aracının sürekli uçuşa elverişlilik yönetiminin başka bir kuruluşa veya kişiye devredilmesi durumunda (CAO.A.090 a.2) ile (CAO.A.090 a.4) maddelerinde belirtilen kayıtlar diğer kuruluş veya kişiye devredilir. Devir anından sonra  (b)  ve  (c)  maddeleri  devralan  kuruluş   için</w:t>
            </w:r>
          </w:p>
          <w:p>
            <w:pPr>
              <w:pStyle w:val="TableParagraph"/>
              <w:spacing w:line="248" w:lineRule="exact" w:before="1"/>
              <w:ind w:left="64"/>
              <w:jc w:val="both"/>
              <w:rPr>
                <w:sz w:val="22"/>
              </w:rPr>
            </w:pPr>
            <w:r>
              <w:rPr>
                <w:sz w:val="22"/>
              </w:rPr>
              <w:t>geçerli olur.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2" w:type="dxa"/>
            <w:tcBorders>
              <w:top w:val="single" w:sz="4" w:space="0" w:color="3366FF"/>
              <w:left w:val="single" w:sz="4" w:space="0" w:color="3366FF"/>
              <w:bottom w:val="single" w:sz="4" w:space="0" w:color="3366FF"/>
              <w:right w:val="nil"/>
            </w:tcBorders>
          </w:tcPr>
          <w:p>
            <w:pPr>
              <w:pStyle w:val="TableParagraph"/>
              <w:rPr>
                <w:sz w:val="22"/>
              </w:rPr>
            </w:pPr>
          </w:p>
        </w:tc>
        <w:tc>
          <w:tcPr>
            <w:tcW w:w="4975" w:type="dxa"/>
            <w:tcBorders>
              <w:top w:val="nil"/>
              <w:left w:val="nil"/>
              <w:bottom w:val="nil"/>
              <w:right w:val="nil"/>
            </w:tcBorders>
            <w:shd w:val="clear" w:color="auto" w:fill="3366FF"/>
          </w:tcPr>
          <w:p>
            <w:pPr>
              <w:pStyle w:val="TableParagraph"/>
              <w:rPr>
                <w:sz w:val="22"/>
              </w:rPr>
            </w:pPr>
          </w:p>
        </w:tc>
      </w:tr>
      <w:tr>
        <w:trPr>
          <w:trHeight w:val="280" w:hRule="atLeast"/>
        </w:trPr>
        <w:tc>
          <w:tcPr>
            <w:tcW w:w="16018" w:type="dxa"/>
            <w:gridSpan w:val="10"/>
            <w:tcBorders>
              <w:top w:val="single" w:sz="4" w:space="0" w:color="3366FF"/>
              <w:left w:val="single" w:sz="4" w:space="0" w:color="3366FF"/>
              <w:bottom w:val="single" w:sz="4" w:space="0" w:color="3366FF"/>
              <w:right w:val="single" w:sz="4" w:space="0" w:color="3366FF"/>
            </w:tcBorders>
            <w:shd w:val="clear" w:color="auto" w:fill="FFC000"/>
          </w:tcPr>
          <w:p>
            <w:pPr>
              <w:pStyle w:val="TableParagraph"/>
              <w:spacing w:before="1"/>
              <w:ind w:left="64"/>
              <w:rPr>
                <w:sz w:val="22"/>
              </w:rPr>
            </w:pPr>
            <w:r>
              <w:rPr>
                <w:w w:val="95"/>
                <w:sz w:val="22"/>
              </w:rPr>
              <w:t>CAO.A.095 Kuruluşun yetkileri</w:t>
            </w:r>
          </w:p>
        </w:tc>
      </w:tr>
    </w:tbl>
    <w:p>
      <w:pPr>
        <w:spacing w:after="0"/>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7"/>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800" w:hRule="atLeast"/>
        </w:trPr>
        <w:tc>
          <w:tcPr>
            <w:tcW w:w="1560" w:type="dxa"/>
            <w:tcBorders>
              <w:left w:val="single" w:sz="4" w:space="0" w:color="3366FF"/>
              <w:bottom w:val="single" w:sz="4" w:space="0" w:color="3366FF"/>
              <w:right w:val="single" w:sz="4" w:space="0" w:color="3366FF"/>
            </w:tcBorders>
          </w:tcPr>
          <w:p>
            <w:pPr>
              <w:pStyle w:val="TableParagraph"/>
              <w:spacing w:before="5"/>
              <w:rPr>
                <w:sz w:val="23"/>
              </w:rPr>
            </w:pPr>
          </w:p>
          <w:p>
            <w:pPr>
              <w:pStyle w:val="TableParagraph"/>
              <w:ind w:left="369" w:right="370"/>
              <w:jc w:val="center"/>
              <w:rPr>
                <w:sz w:val="22"/>
              </w:rPr>
            </w:pPr>
            <w:r>
              <w:rPr>
                <w:sz w:val="22"/>
              </w:rPr>
              <w:t>29</w:t>
            </w:r>
          </w:p>
        </w:tc>
        <w:tc>
          <w:tcPr>
            <w:tcW w:w="1843" w:type="dxa"/>
            <w:tcBorders>
              <w:left w:val="single" w:sz="4" w:space="0" w:color="3366FF"/>
              <w:bottom w:val="single" w:sz="4" w:space="0" w:color="3366FF"/>
              <w:right w:val="single" w:sz="4" w:space="0" w:color="3366FF"/>
            </w:tcBorders>
          </w:tcPr>
          <w:p>
            <w:pPr>
              <w:pStyle w:val="TableParagraph"/>
              <w:spacing w:before="5"/>
              <w:rPr>
                <w:sz w:val="23"/>
              </w:rPr>
            </w:pPr>
          </w:p>
          <w:p>
            <w:pPr>
              <w:pStyle w:val="TableParagraph"/>
              <w:ind w:left="64"/>
              <w:rPr>
                <w:sz w:val="22"/>
              </w:rPr>
            </w:pPr>
            <w:r>
              <w:rPr>
                <w:w w:val="90"/>
                <w:sz w:val="22"/>
              </w:rPr>
              <w:t>CAO.A.095 (b)</w:t>
            </w:r>
          </w:p>
        </w:tc>
        <w:tc>
          <w:tcPr>
            <w:tcW w:w="4800" w:type="dxa"/>
            <w:tcBorders>
              <w:left w:val="single" w:sz="4" w:space="0" w:color="3366FF"/>
              <w:bottom w:val="single" w:sz="4" w:space="0" w:color="3366FF"/>
              <w:right w:val="single" w:sz="4" w:space="0" w:color="3366FF"/>
            </w:tcBorders>
          </w:tcPr>
          <w:p>
            <w:pPr>
              <w:pStyle w:val="TableParagraph"/>
              <w:spacing w:line="254" w:lineRule="auto" w:before="1"/>
              <w:ind w:left="64" w:right="161"/>
              <w:rPr>
                <w:sz w:val="22"/>
              </w:rPr>
            </w:pPr>
            <w:r>
              <w:rPr>
                <w:sz w:val="22"/>
              </w:rPr>
              <w:t>Sürekli uçuşa elverişlilik yönetimi konusunda yetkilendirilen</w:t>
            </w:r>
            <w:r>
              <w:rPr>
                <w:spacing w:val="-23"/>
                <w:sz w:val="22"/>
              </w:rPr>
              <w:t> </w:t>
            </w:r>
            <w:r>
              <w:rPr>
                <w:sz w:val="22"/>
              </w:rPr>
              <w:t>CAO</w:t>
            </w:r>
            <w:r>
              <w:rPr>
                <w:spacing w:val="-23"/>
                <w:sz w:val="22"/>
              </w:rPr>
              <w:t> </w:t>
            </w:r>
            <w:r>
              <w:rPr>
                <w:sz w:val="22"/>
              </w:rPr>
              <w:t>aşağıdaki</w:t>
            </w:r>
            <w:r>
              <w:rPr>
                <w:spacing w:val="-23"/>
                <w:sz w:val="22"/>
              </w:rPr>
              <w:t> </w:t>
            </w:r>
            <w:r>
              <w:rPr>
                <w:sz w:val="22"/>
              </w:rPr>
              <w:t>yetkiler</w:t>
            </w:r>
            <w:r>
              <w:rPr>
                <w:spacing w:val="-25"/>
                <w:sz w:val="22"/>
              </w:rPr>
              <w:t> </w:t>
            </w:r>
            <w:r>
              <w:rPr>
                <w:sz w:val="22"/>
              </w:rPr>
              <w:t>doğru</w:t>
            </w:r>
            <w:r>
              <w:rPr>
                <w:spacing w:val="-23"/>
                <w:sz w:val="22"/>
              </w:rPr>
              <w:t> </w:t>
            </w:r>
            <w:r>
              <w:rPr>
                <w:sz w:val="22"/>
              </w:rPr>
              <w:t>şekilde</w:t>
            </w:r>
          </w:p>
          <w:p>
            <w:pPr>
              <w:pStyle w:val="TableParagraph"/>
              <w:spacing w:line="248" w:lineRule="exact" w:before="1"/>
              <w:ind w:left="64"/>
              <w:rPr>
                <w:sz w:val="22"/>
              </w:rPr>
            </w:pPr>
            <w:r>
              <w:rPr>
                <w:sz w:val="22"/>
              </w:rPr>
              <w:t>uygulanmış mı ?</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r>
        <w:trPr>
          <w:trHeight w:val="13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9"/>
              <w:rPr>
                <w:sz w:val="22"/>
              </w:rPr>
            </w:pPr>
          </w:p>
          <w:p>
            <w:pPr>
              <w:pStyle w:val="TableParagraph"/>
              <w:ind w:left="369" w:right="369"/>
              <w:jc w:val="center"/>
              <w:rPr>
                <w:sz w:val="22"/>
              </w:rPr>
            </w:pPr>
            <w:r>
              <w:rPr>
                <w:w w:val="95"/>
                <w:sz w:val="22"/>
              </w:rPr>
              <w:t>AAD-1</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9"/>
              <w:rPr>
                <w:sz w:val="22"/>
              </w:rPr>
            </w:pPr>
          </w:p>
          <w:p>
            <w:pPr>
              <w:pStyle w:val="TableParagraph"/>
              <w:ind w:left="64"/>
              <w:rPr>
                <w:sz w:val="22"/>
              </w:rPr>
            </w:pPr>
            <w:r>
              <w:rPr>
                <w:w w:val="90"/>
                <w:sz w:val="22"/>
              </w:rPr>
              <w:t>CAO.A.095 (b)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8"/>
              <w:jc w:val="both"/>
              <w:rPr>
                <w:sz w:val="22"/>
              </w:rPr>
            </w:pPr>
            <w:r>
              <w:rPr>
                <w:sz w:val="22"/>
              </w:rPr>
              <w:t>Genel Müdürlük, başka bir kuruluş veya kişi tarafından yayınlanmış </w:t>
            </w:r>
            <w:r>
              <w:rPr>
                <w:spacing w:val="-3"/>
                <w:sz w:val="22"/>
              </w:rPr>
              <w:t>bir </w:t>
            </w:r>
            <w:r>
              <w:rPr>
                <w:sz w:val="22"/>
              </w:rPr>
              <w:t>ARC'yi uygun olduğu duruma</w:t>
            </w:r>
            <w:r>
              <w:rPr>
                <w:spacing w:val="-42"/>
                <w:sz w:val="22"/>
              </w:rPr>
              <w:t> </w:t>
            </w:r>
            <w:r>
              <w:rPr>
                <w:sz w:val="22"/>
              </w:rPr>
              <w:t>göre</w:t>
            </w:r>
            <w:r>
              <w:rPr>
                <w:spacing w:val="-42"/>
                <w:sz w:val="22"/>
              </w:rPr>
              <w:t> </w:t>
            </w:r>
            <w:r>
              <w:rPr>
                <w:sz w:val="22"/>
              </w:rPr>
              <w:t>M.A.901</w:t>
            </w:r>
            <w:r>
              <w:rPr>
                <w:spacing w:val="-43"/>
                <w:sz w:val="22"/>
              </w:rPr>
              <w:t> </w:t>
            </w:r>
            <w:r>
              <w:rPr>
                <w:sz w:val="22"/>
              </w:rPr>
              <w:t>(f),</w:t>
            </w:r>
            <w:r>
              <w:rPr>
                <w:spacing w:val="-44"/>
                <w:sz w:val="22"/>
              </w:rPr>
              <w:t> </w:t>
            </w:r>
            <w:r>
              <w:rPr>
                <w:sz w:val="22"/>
              </w:rPr>
              <w:t>ML.A.901</w:t>
            </w:r>
            <w:r>
              <w:rPr>
                <w:spacing w:val="-43"/>
                <w:sz w:val="22"/>
              </w:rPr>
              <w:t> </w:t>
            </w:r>
            <w:r>
              <w:rPr>
                <w:sz w:val="22"/>
              </w:rPr>
              <w:t>(c),</w:t>
            </w:r>
            <w:r>
              <w:rPr>
                <w:spacing w:val="-43"/>
                <w:sz w:val="22"/>
              </w:rPr>
              <w:t> </w:t>
            </w:r>
            <w:r>
              <w:rPr>
                <w:sz w:val="22"/>
              </w:rPr>
              <w:t>MD.A.901</w:t>
            </w:r>
            <w:r>
              <w:rPr>
                <w:spacing w:val="-41"/>
                <w:sz w:val="22"/>
              </w:rPr>
              <w:t> </w:t>
            </w:r>
            <w:r>
              <w:rPr>
                <w:sz w:val="22"/>
              </w:rPr>
              <w:t>(c)</w:t>
            </w:r>
          </w:p>
          <w:p>
            <w:pPr>
              <w:pStyle w:val="TableParagraph"/>
              <w:spacing w:before="1"/>
              <w:ind w:left="64"/>
              <w:jc w:val="both"/>
              <w:rPr>
                <w:sz w:val="22"/>
              </w:rPr>
            </w:pPr>
            <w:r>
              <w:rPr>
                <w:sz w:val="22"/>
              </w:rPr>
              <w:t>veya  MD.A.901  (d)  maddesi  kapsamında  temdit</w:t>
            </w:r>
          </w:p>
          <w:p>
            <w:pPr>
              <w:pStyle w:val="TableParagraph"/>
              <w:spacing w:line="245" w:lineRule="exact" w:before="15"/>
              <w:ind w:left="64"/>
              <w:jc w:val="both"/>
              <w:rPr>
                <w:sz w:val="22"/>
              </w:rPr>
            </w:pPr>
            <w:r>
              <w:rPr>
                <w:w w:val="105"/>
                <w:sz w:val="22"/>
              </w:rPr>
              <w:t>etmek.</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202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10"/>
              <w:rPr>
                <w:sz w:val="28"/>
              </w:rPr>
            </w:pPr>
          </w:p>
          <w:p>
            <w:pPr>
              <w:pStyle w:val="TableParagraph"/>
              <w:ind w:left="369" w:right="369"/>
              <w:jc w:val="center"/>
              <w:rPr>
                <w:sz w:val="22"/>
              </w:rPr>
            </w:pPr>
            <w:r>
              <w:rPr>
                <w:w w:val="95"/>
                <w:sz w:val="22"/>
              </w:rPr>
              <w:t>AAD-2</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10"/>
              <w:rPr>
                <w:sz w:val="28"/>
              </w:rPr>
            </w:pPr>
          </w:p>
          <w:p>
            <w:pPr>
              <w:pStyle w:val="TableParagraph"/>
              <w:ind w:left="64"/>
              <w:rPr>
                <w:sz w:val="22"/>
              </w:rPr>
            </w:pPr>
            <w:r>
              <w:rPr>
                <w:w w:val="90"/>
                <w:sz w:val="22"/>
              </w:rPr>
              <w:t>CAO.A.095 (b)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212"/>
              <w:ind w:left="64" w:right="59"/>
              <w:jc w:val="both"/>
              <w:rPr>
                <w:sz w:val="22"/>
              </w:rPr>
            </w:pPr>
            <w:r>
              <w:rPr>
                <w:sz w:val="22"/>
              </w:rPr>
              <w:t>Uçuşa elverişlilik gözden geçirme sertifikasının geçerliliği, aşağıdaki koşullara bağlı olarak, onaylı CAMO/CAO tarafından her seferinde bir yıl olmak üzere    ardışık    şekilde    iki     kez     uzatılabilir. 1.)</w:t>
            </w:r>
            <w:r>
              <w:rPr>
                <w:spacing w:val="-17"/>
                <w:sz w:val="22"/>
              </w:rPr>
              <w:t> </w:t>
            </w:r>
            <w:r>
              <w:rPr>
                <w:sz w:val="22"/>
              </w:rPr>
              <w:t>Hava</w:t>
            </w:r>
            <w:r>
              <w:rPr>
                <w:spacing w:val="-18"/>
                <w:sz w:val="22"/>
              </w:rPr>
              <w:t> </w:t>
            </w:r>
            <w:r>
              <w:rPr>
                <w:sz w:val="22"/>
              </w:rPr>
              <w:t>aracının</w:t>
            </w:r>
            <w:r>
              <w:rPr>
                <w:spacing w:val="-19"/>
                <w:sz w:val="22"/>
              </w:rPr>
              <w:t> </w:t>
            </w:r>
            <w:r>
              <w:rPr>
                <w:sz w:val="22"/>
              </w:rPr>
              <w:t>aynı</w:t>
            </w:r>
            <w:r>
              <w:rPr>
                <w:spacing w:val="-18"/>
                <w:sz w:val="22"/>
              </w:rPr>
              <w:t> </w:t>
            </w:r>
            <w:r>
              <w:rPr>
                <w:sz w:val="22"/>
              </w:rPr>
              <w:t>CAMO/CAO</w:t>
            </w:r>
            <w:r>
              <w:rPr>
                <w:spacing w:val="-18"/>
                <w:sz w:val="22"/>
              </w:rPr>
              <w:t> </w:t>
            </w:r>
            <w:r>
              <w:rPr>
                <w:sz w:val="22"/>
              </w:rPr>
              <w:t>tarafından</w:t>
            </w:r>
            <w:r>
              <w:rPr>
                <w:spacing w:val="-19"/>
                <w:sz w:val="22"/>
              </w:rPr>
              <w:t> </w:t>
            </w:r>
            <w:r>
              <w:rPr>
                <w:sz w:val="22"/>
              </w:rPr>
              <w:t>son</w:t>
            </w:r>
            <w:r>
              <w:rPr>
                <w:spacing w:val="-19"/>
                <w:sz w:val="22"/>
              </w:rPr>
              <w:t> </w:t>
            </w:r>
            <w:r>
              <w:rPr>
                <w:sz w:val="22"/>
              </w:rPr>
              <w:t>12 ay</w:t>
            </w:r>
            <w:r>
              <w:rPr>
                <w:spacing w:val="-8"/>
                <w:sz w:val="22"/>
              </w:rPr>
              <w:t> </w:t>
            </w:r>
            <w:r>
              <w:rPr>
                <w:sz w:val="22"/>
              </w:rPr>
              <w:t>boyunca</w:t>
            </w:r>
            <w:r>
              <w:rPr>
                <w:spacing w:val="-11"/>
                <w:sz w:val="22"/>
              </w:rPr>
              <w:t> </w:t>
            </w:r>
            <w:r>
              <w:rPr>
                <w:sz w:val="22"/>
              </w:rPr>
              <w:t>kesintisiz</w:t>
            </w:r>
            <w:r>
              <w:rPr>
                <w:spacing w:val="-13"/>
                <w:sz w:val="22"/>
              </w:rPr>
              <w:t> </w:t>
            </w:r>
            <w:r>
              <w:rPr>
                <w:sz w:val="22"/>
              </w:rPr>
              <w:t>olarak</w:t>
            </w:r>
            <w:r>
              <w:rPr>
                <w:spacing w:val="-7"/>
                <w:sz w:val="22"/>
              </w:rPr>
              <w:t> </w:t>
            </w:r>
            <w:r>
              <w:rPr>
                <w:sz w:val="22"/>
              </w:rPr>
              <w:t>yönetilmiş</w:t>
            </w:r>
            <w:r>
              <w:rPr>
                <w:spacing w:val="-10"/>
                <w:sz w:val="22"/>
              </w:rPr>
              <w:t> </w:t>
            </w:r>
            <w:r>
              <w:rPr>
                <w:sz w:val="22"/>
              </w:rPr>
              <w:t>olması,</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spacing w:line="254" w:lineRule="auto" w:before="3"/>
              <w:ind w:left="69" w:right="65"/>
              <w:jc w:val="both"/>
              <w:rPr>
                <w:sz w:val="22"/>
              </w:rPr>
            </w:pPr>
            <w:r>
              <w:rPr>
                <w:color w:val="FFFFFF"/>
                <w:sz w:val="22"/>
              </w:rPr>
              <w:t>Uçuşa elverişlilik gözden geçirme sertifikasını uzatma işlemi, hava aracı kayıtlarının incelenmesi, hava aracının tip sertifikasına uygunluk ve emniyet gereklerini karşıladığının doğrulanması anlamında bir işlemdir.</w:t>
            </w:r>
          </w:p>
        </w:tc>
      </w:tr>
      <w:tr>
        <w:trPr>
          <w:trHeight w:val="160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5"/>
              <w:rPr>
                <w:sz w:val="34"/>
              </w:rPr>
            </w:pPr>
          </w:p>
          <w:p>
            <w:pPr>
              <w:pStyle w:val="TableParagraph"/>
              <w:spacing w:before="1"/>
              <w:ind w:left="369" w:right="369"/>
              <w:jc w:val="center"/>
              <w:rPr>
                <w:sz w:val="22"/>
              </w:rPr>
            </w:pPr>
            <w:r>
              <w:rPr>
                <w:w w:val="95"/>
                <w:sz w:val="22"/>
              </w:rPr>
              <w:t>AAD-3</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5"/>
              <w:rPr>
                <w:sz w:val="34"/>
              </w:rPr>
            </w:pPr>
          </w:p>
          <w:p>
            <w:pPr>
              <w:pStyle w:val="TableParagraph"/>
              <w:spacing w:before="1"/>
              <w:ind w:left="64"/>
              <w:rPr>
                <w:sz w:val="22"/>
              </w:rPr>
            </w:pPr>
            <w:r>
              <w:rPr>
                <w:w w:val="90"/>
                <w:sz w:val="22"/>
              </w:rPr>
              <w:t>CAO.A.095 (b)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3"/>
              <w:ind w:left="64" w:right="58"/>
              <w:jc w:val="both"/>
              <w:rPr>
                <w:sz w:val="22"/>
              </w:rPr>
            </w:pPr>
            <w:r>
              <w:rPr>
                <w:sz w:val="22"/>
              </w:rPr>
              <w:t>2.)</w:t>
            </w:r>
            <w:r>
              <w:rPr>
                <w:spacing w:val="-7"/>
                <w:sz w:val="22"/>
              </w:rPr>
              <w:t> </w:t>
            </w:r>
            <w:r>
              <w:rPr>
                <w:sz w:val="22"/>
              </w:rPr>
              <w:t>Hava</w:t>
            </w:r>
            <w:r>
              <w:rPr>
                <w:spacing w:val="-8"/>
                <w:sz w:val="22"/>
              </w:rPr>
              <w:t> </w:t>
            </w:r>
            <w:r>
              <w:rPr>
                <w:sz w:val="22"/>
              </w:rPr>
              <w:t>aracı</w:t>
            </w:r>
            <w:r>
              <w:rPr>
                <w:spacing w:val="-8"/>
                <w:sz w:val="22"/>
              </w:rPr>
              <w:t> </w:t>
            </w:r>
            <w:r>
              <w:rPr>
                <w:sz w:val="22"/>
              </w:rPr>
              <w:t>bakımlarının</w:t>
            </w:r>
            <w:r>
              <w:rPr>
                <w:spacing w:val="-10"/>
                <w:sz w:val="22"/>
              </w:rPr>
              <w:t> </w:t>
            </w:r>
            <w:r>
              <w:rPr>
                <w:sz w:val="22"/>
              </w:rPr>
              <w:t>son</w:t>
            </w:r>
            <w:r>
              <w:rPr>
                <w:spacing w:val="-9"/>
                <w:sz w:val="22"/>
              </w:rPr>
              <w:t> </w:t>
            </w:r>
            <w:r>
              <w:rPr>
                <w:sz w:val="22"/>
              </w:rPr>
              <w:t>12</w:t>
            </w:r>
            <w:r>
              <w:rPr>
                <w:spacing w:val="-9"/>
                <w:sz w:val="22"/>
              </w:rPr>
              <w:t> </w:t>
            </w:r>
            <w:r>
              <w:rPr>
                <w:sz w:val="22"/>
              </w:rPr>
              <w:t>ay</w:t>
            </w:r>
            <w:r>
              <w:rPr>
                <w:spacing w:val="-9"/>
                <w:sz w:val="22"/>
              </w:rPr>
              <w:t> </w:t>
            </w:r>
            <w:r>
              <w:rPr>
                <w:sz w:val="22"/>
              </w:rPr>
              <w:t>boyunca</w:t>
            </w:r>
            <w:r>
              <w:rPr>
                <w:spacing w:val="-11"/>
                <w:sz w:val="22"/>
              </w:rPr>
              <w:t> </w:t>
            </w:r>
            <w:r>
              <w:rPr>
                <w:sz w:val="22"/>
              </w:rPr>
              <w:t>onaylı bakım</w:t>
            </w:r>
            <w:r>
              <w:rPr>
                <w:spacing w:val="-12"/>
                <w:sz w:val="22"/>
              </w:rPr>
              <w:t> </w:t>
            </w:r>
            <w:r>
              <w:rPr>
                <w:sz w:val="22"/>
              </w:rPr>
              <w:t>kuruluşu</w:t>
            </w:r>
            <w:r>
              <w:rPr>
                <w:spacing w:val="-13"/>
                <w:sz w:val="22"/>
              </w:rPr>
              <w:t> </w:t>
            </w:r>
            <w:r>
              <w:rPr>
                <w:sz w:val="22"/>
              </w:rPr>
              <w:t>tarafından</w:t>
            </w:r>
            <w:r>
              <w:rPr>
                <w:spacing w:val="-12"/>
                <w:sz w:val="22"/>
              </w:rPr>
              <w:t> </w:t>
            </w:r>
            <w:r>
              <w:rPr>
                <w:sz w:val="22"/>
              </w:rPr>
              <w:t>yapılmış</w:t>
            </w:r>
            <w:r>
              <w:rPr>
                <w:spacing w:val="-15"/>
                <w:sz w:val="22"/>
              </w:rPr>
              <w:t> </w:t>
            </w:r>
            <w:r>
              <w:rPr>
                <w:sz w:val="22"/>
              </w:rPr>
              <w:t>olması.</w:t>
            </w:r>
            <w:r>
              <w:rPr>
                <w:spacing w:val="-12"/>
                <w:sz w:val="22"/>
              </w:rPr>
              <w:t> </w:t>
            </w:r>
            <w:r>
              <w:rPr>
                <w:sz w:val="22"/>
              </w:rPr>
              <w:t>Bu</w:t>
            </w:r>
            <w:r>
              <w:rPr>
                <w:spacing w:val="-16"/>
                <w:sz w:val="22"/>
              </w:rPr>
              <w:t> </w:t>
            </w:r>
            <w:r>
              <w:rPr>
                <w:sz w:val="22"/>
              </w:rPr>
              <w:t>kriter, bağımsız onaylayıcı personel veya hava aracı sahibi pilot tarafından gerçekleştirilerek bakım çıkış sertifikası      (CRS)      yayınlanan      bakımları  </w:t>
            </w:r>
            <w:r>
              <w:rPr>
                <w:spacing w:val="52"/>
                <w:sz w:val="22"/>
              </w:rPr>
              <w:t> </w:t>
            </w:r>
            <w:r>
              <w:rPr>
                <w:sz w:val="22"/>
              </w:rPr>
              <w:t>da</w:t>
            </w:r>
          </w:p>
          <w:p>
            <w:pPr>
              <w:pStyle w:val="TableParagraph"/>
              <w:spacing w:line="248" w:lineRule="exact" w:before="1"/>
              <w:ind w:left="64"/>
              <w:jc w:val="both"/>
              <w:rPr>
                <w:sz w:val="22"/>
              </w:rPr>
            </w:pPr>
            <w:r>
              <w:rPr>
                <w:w w:val="105"/>
                <w:sz w:val="22"/>
              </w:rPr>
              <w:t>kapsamaktadır.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11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171"/>
              <w:ind w:left="369" w:right="369"/>
              <w:jc w:val="center"/>
              <w:rPr>
                <w:sz w:val="22"/>
              </w:rPr>
            </w:pPr>
            <w:r>
              <w:rPr>
                <w:w w:val="95"/>
                <w:sz w:val="22"/>
              </w:rPr>
              <w:t>AAD-4</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171"/>
              <w:ind w:left="64"/>
              <w:rPr>
                <w:sz w:val="22"/>
              </w:rPr>
            </w:pPr>
            <w:r>
              <w:rPr>
                <w:w w:val="90"/>
                <w:sz w:val="22"/>
              </w:rPr>
              <w:t>CAO.A.095 (b)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78"/>
              <w:ind w:left="64" w:right="58"/>
              <w:jc w:val="both"/>
              <w:rPr>
                <w:sz w:val="22"/>
              </w:rPr>
            </w:pPr>
            <w:r>
              <w:rPr>
                <w:sz w:val="22"/>
              </w:rPr>
              <w:t>3.) Hava aracının uçuşa elverişsiz olduğuna dair CAMO/CAO'yu şüpheye düşürecek bir kanıınt ve nedenin</w:t>
            </w:r>
            <w:r>
              <w:rPr>
                <w:spacing w:val="50"/>
                <w:sz w:val="22"/>
              </w:rPr>
              <w:t> </w:t>
            </w:r>
            <w:r>
              <w:rPr>
                <w:sz w:val="22"/>
              </w:rPr>
              <w:t>bulunmaması.</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spacing w:line="254" w:lineRule="auto" w:before="1"/>
              <w:ind w:left="69" w:right="64"/>
              <w:jc w:val="both"/>
              <w:rPr>
                <w:sz w:val="22"/>
              </w:rPr>
            </w:pPr>
            <w:r>
              <w:rPr>
                <w:color w:val="FFFFFF"/>
                <w:sz w:val="22"/>
              </w:rPr>
              <w:t>CAMO/CAO</w:t>
            </w:r>
            <w:r>
              <w:rPr>
                <w:color w:val="FFFFFF"/>
                <w:spacing w:val="-17"/>
                <w:sz w:val="22"/>
              </w:rPr>
              <w:t> </w:t>
            </w:r>
            <w:r>
              <w:rPr>
                <w:color w:val="FFFFFF"/>
                <w:sz w:val="22"/>
              </w:rPr>
              <w:t>tarafından</w:t>
            </w:r>
            <w:r>
              <w:rPr>
                <w:color w:val="FFFFFF"/>
                <w:spacing w:val="-17"/>
                <w:sz w:val="22"/>
              </w:rPr>
              <w:t> </w:t>
            </w:r>
            <w:r>
              <w:rPr>
                <w:color w:val="FFFFFF"/>
                <w:sz w:val="22"/>
              </w:rPr>
              <w:t>yapılacak</w:t>
            </w:r>
            <w:r>
              <w:rPr>
                <w:color w:val="FFFFFF"/>
                <w:spacing w:val="-16"/>
                <w:sz w:val="22"/>
              </w:rPr>
              <w:t> </w:t>
            </w:r>
            <w:r>
              <w:rPr>
                <w:color w:val="FFFFFF"/>
                <w:sz w:val="22"/>
              </w:rPr>
              <w:t>bu</w:t>
            </w:r>
            <w:r>
              <w:rPr>
                <w:color w:val="FFFFFF"/>
                <w:spacing w:val="-17"/>
                <w:sz w:val="22"/>
              </w:rPr>
              <w:t> </w:t>
            </w:r>
            <w:r>
              <w:rPr>
                <w:color w:val="FFFFFF"/>
                <w:sz w:val="22"/>
              </w:rPr>
              <w:t>uzatma</w:t>
            </w:r>
            <w:r>
              <w:rPr>
                <w:color w:val="FFFFFF"/>
                <w:spacing w:val="-17"/>
                <w:sz w:val="22"/>
              </w:rPr>
              <w:t> </w:t>
            </w:r>
            <w:r>
              <w:rPr>
                <w:color w:val="FFFFFF"/>
                <w:sz w:val="22"/>
              </w:rPr>
              <w:t>işleminde ARC'ın ilk olarak kim tarafından yayınlandığının bir etkisi</w:t>
            </w:r>
            <w:r>
              <w:rPr>
                <w:color w:val="FFFFFF"/>
                <w:spacing w:val="28"/>
                <w:sz w:val="22"/>
              </w:rPr>
              <w:t> </w:t>
            </w:r>
            <w:r>
              <w:rPr>
                <w:color w:val="FFFFFF"/>
                <w:sz w:val="22"/>
              </w:rPr>
              <w:t>bulunmamaktadır.</w:t>
            </w:r>
          </w:p>
        </w:tc>
      </w:tr>
    </w:tbl>
    <w:p>
      <w:pPr>
        <w:spacing w:after="0" w:line="254" w:lineRule="auto"/>
        <w:jc w:val="both"/>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3"/>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144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spacing w:before="4"/>
              <w:rPr>
                <w:sz w:val="27"/>
              </w:rPr>
            </w:pPr>
          </w:p>
          <w:p>
            <w:pPr>
              <w:pStyle w:val="TableParagraph"/>
              <w:ind w:left="369" w:right="369"/>
              <w:jc w:val="center"/>
              <w:rPr>
                <w:sz w:val="22"/>
              </w:rPr>
            </w:pPr>
            <w:r>
              <w:rPr>
                <w:w w:val="95"/>
                <w:sz w:val="22"/>
              </w:rPr>
              <w:t>AAD-5</w:t>
            </w:r>
          </w:p>
        </w:tc>
        <w:tc>
          <w:tcPr>
            <w:tcW w:w="1843" w:type="dxa"/>
            <w:tcBorders>
              <w:left w:val="single" w:sz="4" w:space="0" w:color="3366FF"/>
              <w:bottom w:val="single" w:sz="4" w:space="0" w:color="3366FF"/>
              <w:right w:val="single" w:sz="4" w:space="0" w:color="3366FF"/>
            </w:tcBorders>
          </w:tcPr>
          <w:p>
            <w:pPr>
              <w:pStyle w:val="TableParagraph"/>
              <w:rPr>
                <w:sz w:val="24"/>
              </w:rPr>
            </w:pPr>
          </w:p>
          <w:p>
            <w:pPr>
              <w:pStyle w:val="TableParagraph"/>
              <w:spacing w:before="4"/>
              <w:rPr>
                <w:sz w:val="27"/>
              </w:rPr>
            </w:pPr>
          </w:p>
          <w:p>
            <w:pPr>
              <w:pStyle w:val="TableParagraph"/>
              <w:ind w:left="63"/>
              <w:rPr>
                <w:sz w:val="22"/>
              </w:rPr>
            </w:pPr>
            <w:r>
              <w:rPr>
                <w:w w:val="95"/>
                <w:sz w:val="22"/>
              </w:rPr>
              <w:t>ML.A.901 (d)</w:t>
            </w:r>
          </w:p>
        </w:tc>
        <w:tc>
          <w:tcPr>
            <w:tcW w:w="4800" w:type="dxa"/>
            <w:tcBorders>
              <w:left w:val="single" w:sz="4" w:space="0" w:color="3366FF"/>
              <w:bottom w:val="single" w:sz="4" w:space="0" w:color="3366FF"/>
              <w:right w:val="single" w:sz="4" w:space="0" w:color="3366FF"/>
            </w:tcBorders>
          </w:tcPr>
          <w:p>
            <w:pPr>
              <w:pStyle w:val="TableParagraph"/>
              <w:spacing w:line="254" w:lineRule="auto" w:before="53"/>
              <w:ind w:left="64" w:right="58"/>
              <w:jc w:val="both"/>
              <w:rPr>
                <w:sz w:val="22"/>
              </w:rPr>
            </w:pPr>
            <w:r>
              <w:rPr>
                <w:sz w:val="22"/>
              </w:rPr>
              <w:t>(d) Uçuşa elverişlilik gözden geçirme sertifikasının geçerlilik süresinin uzatılmasının azami 30 gün önceden yapılması kabul edilebilir ve bu durumda uçuşa elverişlilik gözden geçirme işlemi düzeni ve </w:t>
            </w:r>
            <w:r>
              <w:rPr>
                <w:w w:val="95"/>
                <w:sz w:val="22"/>
              </w:rPr>
              <w:t>sürekliliği kaybolmaz.</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spacing w:line="254" w:lineRule="auto" w:before="1"/>
              <w:ind w:left="69" w:right="64"/>
              <w:jc w:val="both"/>
              <w:rPr>
                <w:sz w:val="22"/>
              </w:rPr>
            </w:pPr>
            <w:r>
              <w:rPr>
                <w:color w:val="FFFFFF"/>
                <w:sz w:val="22"/>
              </w:rPr>
              <w:t>Gözden geçirme işlemi düzeninin kaybolmamasının anlamı, yeni geçerlilik tarihinin, mevcut geçerlilik tarihinden tam bir yıl sonrası olarak belirlenmesidir</w:t>
            </w:r>
          </w:p>
        </w:tc>
      </w:tr>
      <w:tr>
        <w:trPr>
          <w:trHeight w:val="10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
              <w:rPr>
                <w:sz w:val="35"/>
              </w:rPr>
            </w:pPr>
          </w:p>
          <w:p>
            <w:pPr>
              <w:pStyle w:val="TableParagraph"/>
              <w:ind w:left="369" w:right="370"/>
              <w:jc w:val="center"/>
              <w:rPr>
                <w:sz w:val="22"/>
              </w:rPr>
            </w:pPr>
            <w:r>
              <w:rPr>
                <w:sz w:val="22"/>
              </w:rPr>
              <w:t>30</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1"/>
              <w:rPr>
                <w:sz w:val="35"/>
              </w:rPr>
            </w:pPr>
          </w:p>
          <w:p>
            <w:pPr>
              <w:pStyle w:val="TableParagraph"/>
              <w:ind w:left="64"/>
              <w:rPr>
                <w:sz w:val="22"/>
              </w:rPr>
            </w:pPr>
            <w:r>
              <w:rPr>
                <w:w w:val="90"/>
                <w:sz w:val="22"/>
              </w:rPr>
              <w:t>CAO.A.095 (b)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7"/>
              <w:jc w:val="both"/>
              <w:rPr>
                <w:sz w:val="22"/>
              </w:rPr>
            </w:pPr>
            <w:r>
              <w:rPr>
                <w:sz w:val="22"/>
              </w:rPr>
              <w:t>Onay sertifikasında belirtildiği şekilde, sınırlı sürekli uçuşa elverişlilik görevlerini kendi kalite sistemi altında yer alan sözleşmeli alt yüklenici vasıtasıyla</w:t>
            </w:r>
          </w:p>
          <w:p>
            <w:pPr>
              <w:pStyle w:val="TableParagraph"/>
              <w:spacing w:line="248" w:lineRule="exact" w:before="1"/>
              <w:ind w:left="64"/>
              <w:jc w:val="both"/>
              <w:rPr>
                <w:sz w:val="22"/>
              </w:rPr>
            </w:pPr>
            <w:r>
              <w:rPr>
                <w:w w:val="105"/>
                <w:sz w:val="22"/>
              </w:rPr>
              <w:t>yürütmek.</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26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33"/>
              </w:rPr>
            </w:pPr>
          </w:p>
          <w:p>
            <w:pPr>
              <w:pStyle w:val="TableParagraph"/>
              <w:ind w:left="369" w:right="369"/>
              <w:jc w:val="center"/>
              <w:rPr>
                <w:sz w:val="22"/>
              </w:rPr>
            </w:pPr>
            <w:r>
              <w:rPr>
                <w:w w:val="95"/>
                <w:sz w:val="22"/>
              </w:rPr>
              <w:t>AAD-1</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tabs>
                <w:tab w:pos="4452" w:val="left" w:leader="none"/>
              </w:tabs>
              <w:spacing w:line="254" w:lineRule="auto" w:before="1"/>
              <w:ind w:left="64" w:right="59"/>
              <w:jc w:val="both"/>
              <w:rPr>
                <w:sz w:val="22"/>
              </w:rPr>
            </w:pPr>
            <w:r>
              <w:rPr>
                <w:sz w:val="22"/>
              </w:rPr>
              <w:t>In order to fulfil this responsibility, the CAO should be satisfied that the actions taken by the subcontracted organisation meet the standards required by Part-CAO. Therefore, the CAO management of such activities should be accomplished</w:t>
              <w:tab/>
            </w:r>
            <w:r>
              <w:rPr>
                <w:w w:val="95"/>
                <w:sz w:val="22"/>
              </w:rPr>
              <w:t>by:</w:t>
            </w:r>
          </w:p>
          <w:p>
            <w:pPr>
              <w:pStyle w:val="TableParagraph"/>
              <w:numPr>
                <w:ilvl w:val="0"/>
                <w:numId w:val="3"/>
              </w:numPr>
              <w:tabs>
                <w:tab w:pos="480" w:val="left" w:leader="none"/>
              </w:tabs>
              <w:spacing w:line="254" w:lineRule="auto" w:before="1" w:after="0"/>
              <w:ind w:left="64" w:right="59" w:firstLine="0"/>
              <w:jc w:val="both"/>
              <w:rPr>
                <w:sz w:val="22"/>
              </w:rPr>
            </w:pPr>
            <w:r>
              <w:rPr>
                <w:w w:val="105"/>
                <w:sz w:val="22"/>
              </w:rPr>
              <w:t>active control through direct involvement; and/or</w:t>
            </w:r>
          </w:p>
          <w:p>
            <w:pPr>
              <w:pStyle w:val="TableParagraph"/>
              <w:numPr>
                <w:ilvl w:val="0"/>
                <w:numId w:val="3"/>
              </w:numPr>
              <w:tabs>
                <w:tab w:pos="407" w:val="left" w:leader="none"/>
              </w:tabs>
              <w:spacing w:line="240" w:lineRule="auto" w:before="1" w:after="0"/>
              <w:ind w:left="406" w:right="0" w:hanging="342"/>
              <w:jc w:val="both"/>
              <w:rPr>
                <w:sz w:val="22"/>
              </w:rPr>
            </w:pPr>
            <w:r>
              <w:rPr>
                <w:w w:val="105"/>
                <w:sz w:val="22"/>
              </w:rPr>
              <w:t>endorsing  the  recommendations made  by the</w:t>
            </w:r>
          </w:p>
          <w:p>
            <w:pPr>
              <w:pStyle w:val="TableParagraph"/>
              <w:spacing w:line="248" w:lineRule="exact" w:before="16"/>
              <w:ind w:left="64"/>
              <w:jc w:val="both"/>
              <w:rPr>
                <w:sz w:val="22"/>
              </w:rPr>
            </w:pPr>
            <w:r>
              <w:rPr>
                <w:w w:val="105"/>
                <w:sz w:val="22"/>
              </w:rPr>
              <w:t>subcontracted organisation.</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bl>
    <w:p>
      <w:pPr>
        <w:spacing w:after="0"/>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spacing w:before="8"/>
        <w:rPr>
          <w:sz w:val="25"/>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346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8"/>
              <w:rPr>
                <w:sz w:val="19"/>
              </w:rPr>
            </w:pPr>
          </w:p>
          <w:p>
            <w:pPr>
              <w:pStyle w:val="TableParagraph"/>
              <w:ind w:left="369" w:right="369"/>
              <w:jc w:val="center"/>
              <w:rPr>
                <w:sz w:val="22"/>
              </w:rPr>
            </w:pPr>
            <w:r>
              <w:rPr>
                <w:w w:val="95"/>
                <w:sz w:val="22"/>
              </w:rPr>
              <w:t>AAD-2</w:t>
            </w:r>
          </w:p>
        </w:tc>
        <w:tc>
          <w:tcPr>
            <w:tcW w:w="1843" w:type="dxa"/>
            <w:tcBorders>
              <w:left w:val="single" w:sz="4" w:space="0" w:color="3366FF"/>
              <w:bottom w:val="single" w:sz="4" w:space="0" w:color="3366FF"/>
              <w:right w:val="single" w:sz="4" w:space="0" w:color="3366FF"/>
            </w:tcBorders>
          </w:tcPr>
          <w:p>
            <w:pPr>
              <w:pStyle w:val="TableParagraph"/>
              <w:rPr>
                <w:sz w:val="22"/>
              </w:rPr>
            </w:pPr>
          </w:p>
        </w:tc>
        <w:tc>
          <w:tcPr>
            <w:tcW w:w="4800" w:type="dxa"/>
            <w:tcBorders>
              <w:left w:val="single" w:sz="4" w:space="0" w:color="3366FF"/>
              <w:bottom w:val="single" w:sz="4" w:space="0" w:color="3366FF"/>
              <w:right w:val="single" w:sz="4" w:space="0" w:color="3366FF"/>
            </w:tcBorders>
          </w:tcPr>
          <w:p>
            <w:pPr>
              <w:pStyle w:val="TableParagraph"/>
              <w:tabs>
                <w:tab w:pos="2089" w:val="left" w:leader="none"/>
                <w:tab w:pos="4120" w:val="left" w:leader="none"/>
              </w:tabs>
              <w:spacing w:line="254" w:lineRule="auto" w:before="128"/>
              <w:ind w:left="64" w:right="58"/>
              <w:jc w:val="both"/>
              <w:rPr>
                <w:sz w:val="22"/>
              </w:rPr>
            </w:pPr>
            <w:r>
              <w:rPr>
                <w:sz w:val="22"/>
              </w:rPr>
              <w:t>In order to retain ultimate responsibility, the CAO should  limit  subcontracted  tasks   to   the   activities</w:t>
              <w:tab/>
              <w:t>specified</w:t>
              <w:tab/>
              <w:t>below:</w:t>
            </w:r>
          </w:p>
          <w:p>
            <w:pPr>
              <w:pStyle w:val="TableParagraph"/>
              <w:numPr>
                <w:ilvl w:val="0"/>
                <w:numId w:val="4"/>
              </w:numPr>
              <w:tabs>
                <w:tab w:pos="423" w:val="left" w:leader="none"/>
              </w:tabs>
              <w:spacing w:line="240" w:lineRule="auto" w:before="1" w:after="0"/>
              <w:ind w:left="64" w:right="0" w:firstLine="0"/>
              <w:jc w:val="both"/>
              <w:rPr>
                <w:sz w:val="22"/>
              </w:rPr>
            </w:pPr>
            <w:r>
              <w:rPr>
                <w:sz w:val="22"/>
              </w:rPr>
              <w:t>airworthiness  directive  analysis  and </w:t>
            </w:r>
            <w:r>
              <w:rPr>
                <w:spacing w:val="33"/>
                <w:sz w:val="22"/>
              </w:rPr>
              <w:t> </w:t>
            </w:r>
            <w:r>
              <w:rPr>
                <w:sz w:val="22"/>
              </w:rPr>
              <w:t>planning;</w:t>
            </w:r>
          </w:p>
          <w:p>
            <w:pPr>
              <w:pStyle w:val="TableParagraph"/>
              <w:numPr>
                <w:ilvl w:val="0"/>
                <w:numId w:val="4"/>
              </w:numPr>
              <w:tabs>
                <w:tab w:pos="1095" w:val="left" w:leader="none"/>
                <w:tab w:pos="1096" w:val="left" w:leader="none"/>
                <w:tab w:pos="2502" w:val="left" w:leader="none"/>
                <w:tab w:pos="3969" w:val="left" w:leader="none"/>
              </w:tabs>
              <w:spacing w:line="240" w:lineRule="auto" w:before="15" w:after="0"/>
              <w:ind w:left="1095" w:right="0" w:hanging="1031"/>
              <w:jc w:val="both"/>
              <w:rPr>
                <w:sz w:val="22"/>
              </w:rPr>
            </w:pPr>
            <w:r>
              <w:rPr>
                <w:sz w:val="22"/>
              </w:rPr>
              <w:t>service</w:t>
              <w:tab/>
              <w:t>bulletin</w:t>
              <w:tab/>
              <w:t>analysis;</w:t>
            </w:r>
          </w:p>
          <w:p>
            <w:pPr>
              <w:pStyle w:val="TableParagraph"/>
              <w:numPr>
                <w:ilvl w:val="0"/>
                <w:numId w:val="4"/>
              </w:numPr>
              <w:tabs>
                <w:tab w:pos="1055" w:val="left" w:leader="none"/>
                <w:tab w:pos="1056" w:val="left" w:leader="none"/>
                <w:tab w:pos="2569" w:val="left" w:leader="none"/>
                <w:tab w:pos="3497" w:val="left" w:leader="none"/>
              </w:tabs>
              <w:spacing w:line="240" w:lineRule="auto" w:before="15" w:after="0"/>
              <w:ind w:left="1055" w:right="0" w:hanging="991"/>
              <w:jc w:val="both"/>
              <w:rPr>
                <w:sz w:val="22"/>
              </w:rPr>
            </w:pPr>
            <w:r>
              <w:rPr>
                <w:sz w:val="22"/>
              </w:rPr>
              <w:t>planning</w:t>
              <w:tab/>
              <w:t>of</w:t>
              <w:tab/>
              <w:t>maintenance;</w:t>
            </w:r>
          </w:p>
          <w:p>
            <w:pPr>
              <w:pStyle w:val="TableParagraph"/>
              <w:numPr>
                <w:ilvl w:val="0"/>
                <w:numId w:val="4"/>
              </w:numPr>
              <w:tabs>
                <w:tab w:pos="374" w:val="left" w:leader="none"/>
              </w:tabs>
              <w:spacing w:line="240" w:lineRule="auto" w:before="15" w:after="0"/>
              <w:ind w:left="373" w:right="0" w:hanging="309"/>
              <w:jc w:val="both"/>
              <w:rPr>
                <w:sz w:val="22"/>
              </w:rPr>
            </w:pPr>
            <w:r>
              <w:rPr>
                <w:sz w:val="22"/>
              </w:rPr>
              <w:t>reliability monitoring, engine  health</w:t>
            </w:r>
            <w:r>
              <w:rPr>
                <w:spacing w:val="15"/>
                <w:sz w:val="22"/>
              </w:rPr>
              <w:t> </w:t>
            </w:r>
            <w:r>
              <w:rPr>
                <w:sz w:val="22"/>
              </w:rPr>
              <w:t>monitoring;</w:t>
            </w:r>
          </w:p>
          <w:p>
            <w:pPr>
              <w:pStyle w:val="TableParagraph"/>
              <w:numPr>
                <w:ilvl w:val="0"/>
                <w:numId w:val="4"/>
              </w:numPr>
              <w:tabs>
                <w:tab w:pos="479" w:val="left" w:leader="none"/>
                <w:tab w:pos="4389" w:val="left" w:leader="none"/>
              </w:tabs>
              <w:spacing w:line="254" w:lineRule="auto" w:before="15" w:after="0"/>
              <w:ind w:left="64" w:right="58" w:firstLine="0"/>
              <w:jc w:val="both"/>
              <w:rPr>
                <w:sz w:val="22"/>
              </w:rPr>
            </w:pPr>
            <w:r>
              <w:rPr>
                <w:w w:val="105"/>
                <w:sz w:val="22"/>
              </w:rPr>
              <w:t>maintenance programme development and amendments;</w:t>
              <w:tab/>
              <w:t>and</w:t>
            </w:r>
          </w:p>
          <w:p>
            <w:pPr>
              <w:pStyle w:val="TableParagraph"/>
              <w:numPr>
                <w:ilvl w:val="0"/>
                <w:numId w:val="4"/>
              </w:numPr>
              <w:tabs>
                <w:tab w:pos="379" w:val="left" w:leader="none"/>
              </w:tabs>
              <w:spacing w:line="254" w:lineRule="auto" w:before="0" w:after="0"/>
              <w:ind w:left="64" w:right="58" w:firstLine="0"/>
              <w:jc w:val="both"/>
              <w:rPr>
                <w:sz w:val="22"/>
              </w:rPr>
            </w:pPr>
            <w:r>
              <w:rPr>
                <w:sz w:val="22"/>
              </w:rPr>
              <w:t>any other activities, which do not limit the CAO responsibilities,     as     agreed     by     the competent </w:t>
            </w:r>
            <w:r>
              <w:rPr>
                <w:spacing w:val="35"/>
                <w:sz w:val="22"/>
              </w:rPr>
              <w:t> </w:t>
            </w:r>
            <w:r>
              <w:rPr>
                <w:sz w:val="22"/>
              </w:rPr>
              <w:t>authority.</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r>
        <w:trPr>
          <w:trHeight w:val="202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7"/>
              <w:rPr>
                <w:sz w:val="28"/>
              </w:rPr>
            </w:pPr>
          </w:p>
          <w:p>
            <w:pPr>
              <w:pStyle w:val="TableParagraph"/>
              <w:ind w:left="369" w:right="369"/>
              <w:jc w:val="center"/>
              <w:rPr>
                <w:sz w:val="22"/>
              </w:rPr>
            </w:pPr>
            <w:r>
              <w:rPr>
                <w:w w:val="95"/>
                <w:sz w:val="22"/>
              </w:rPr>
              <w:t>AAD-3</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75"/>
              <w:ind w:left="64" w:right="57"/>
              <w:jc w:val="both"/>
              <w:rPr>
                <w:sz w:val="22"/>
              </w:rPr>
            </w:pPr>
            <w:r>
              <w:rPr>
                <w:w w:val="105"/>
                <w:sz w:val="22"/>
              </w:rPr>
              <w:t>The CAO’s controls associated with</w:t>
            </w:r>
            <w:r>
              <w:rPr>
                <w:spacing w:val="-29"/>
                <w:w w:val="105"/>
                <w:sz w:val="22"/>
              </w:rPr>
              <w:t> </w:t>
            </w:r>
            <w:r>
              <w:rPr>
                <w:w w:val="105"/>
                <w:sz w:val="22"/>
              </w:rPr>
              <w:t>subcontracted continuing</w:t>
            </w:r>
            <w:r>
              <w:rPr>
                <w:spacing w:val="-16"/>
                <w:w w:val="105"/>
                <w:sz w:val="22"/>
              </w:rPr>
              <w:t> </w:t>
            </w:r>
            <w:r>
              <w:rPr>
                <w:w w:val="105"/>
                <w:sz w:val="22"/>
              </w:rPr>
              <w:t>airworthiness</w:t>
            </w:r>
            <w:r>
              <w:rPr>
                <w:spacing w:val="-18"/>
                <w:w w:val="105"/>
                <w:sz w:val="22"/>
              </w:rPr>
              <w:t> </w:t>
            </w:r>
            <w:r>
              <w:rPr>
                <w:w w:val="105"/>
                <w:sz w:val="22"/>
              </w:rPr>
              <w:t>management</w:t>
            </w:r>
            <w:r>
              <w:rPr>
                <w:spacing w:val="-17"/>
                <w:w w:val="105"/>
                <w:sz w:val="22"/>
              </w:rPr>
              <w:t> </w:t>
            </w:r>
            <w:r>
              <w:rPr>
                <w:w w:val="105"/>
                <w:sz w:val="22"/>
              </w:rPr>
              <w:t>tasks</w:t>
            </w:r>
            <w:r>
              <w:rPr>
                <w:spacing w:val="-18"/>
                <w:w w:val="105"/>
                <w:sz w:val="22"/>
              </w:rPr>
              <w:t> </w:t>
            </w:r>
            <w:r>
              <w:rPr>
                <w:w w:val="105"/>
                <w:sz w:val="22"/>
              </w:rPr>
              <w:t>should be reflected in the associated contract and be in accordance with the  CAO  policy  and  procedures</w:t>
            </w:r>
            <w:r>
              <w:rPr>
                <w:spacing w:val="-27"/>
                <w:w w:val="105"/>
                <w:sz w:val="22"/>
              </w:rPr>
              <w:t> </w:t>
            </w:r>
            <w:r>
              <w:rPr>
                <w:w w:val="105"/>
                <w:sz w:val="22"/>
              </w:rPr>
              <w:t>defined</w:t>
            </w:r>
            <w:r>
              <w:rPr>
                <w:spacing w:val="-27"/>
                <w:w w:val="105"/>
                <w:sz w:val="22"/>
              </w:rPr>
              <w:t> </w:t>
            </w:r>
            <w:r>
              <w:rPr>
                <w:w w:val="105"/>
                <w:sz w:val="22"/>
              </w:rPr>
              <w:t>in</w:t>
            </w:r>
            <w:r>
              <w:rPr>
                <w:spacing w:val="-27"/>
                <w:w w:val="105"/>
                <w:sz w:val="22"/>
              </w:rPr>
              <w:t> </w:t>
            </w:r>
            <w:r>
              <w:rPr>
                <w:w w:val="105"/>
                <w:sz w:val="22"/>
              </w:rPr>
              <w:t>the</w:t>
            </w:r>
            <w:r>
              <w:rPr>
                <w:spacing w:val="-27"/>
                <w:w w:val="105"/>
                <w:sz w:val="22"/>
              </w:rPr>
              <w:t> </w:t>
            </w:r>
            <w:r>
              <w:rPr>
                <w:w w:val="105"/>
                <w:sz w:val="22"/>
              </w:rPr>
              <w:t>CAE.</w:t>
            </w:r>
            <w:r>
              <w:rPr>
                <w:spacing w:val="-27"/>
                <w:w w:val="105"/>
                <w:sz w:val="22"/>
              </w:rPr>
              <w:t> </w:t>
            </w:r>
            <w:r>
              <w:rPr>
                <w:w w:val="105"/>
                <w:sz w:val="22"/>
              </w:rPr>
              <w:t>When</w:t>
            </w:r>
            <w:r>
              <w:rPr>
                <w:spacing w:val="-27"/>
                <w:w w:val="105"/>
                <w:sz w:val="22"/>
              </w:rPr>
              <w:t> </w:t>
            </w:r>
            <w:r>
              <w:rPr>
                <w:w w:val="105"/>
                <w:sz w:val="22"/>
              </w:rPr>
              <w:t>such</w:t>
            </w:r>
            <w:r>
              <w:rPr>
                <w:spacing w:val="-27"/>
                <w:w w:val="105"/>
                <w:sz w:val="22"/>
              </w:rPr>
              <w:t> </w:t>
            </w:r>
            <w:r>
              <w:rPr>
                <w:w w:val="105"/>
                <w:sz w:val="22"/>
              </w:rPr>
              <w:t>tasks</w:t>
            </w:r>
            <w:r>
              <w:rPr>
                <w:spacing w:val="-27"/>
                <w:w w:val="105"/>
                <w:sz w:val="22"/>
              </w:rPr>
              <w:t> </w:t>
            </w:r>
            <w:r>
              <w:rPr>
                <w:w w:val="105"/>
                <w:sz w:val="22"/>
              </w:rPr>
              <w:t>are subcontracted, the quality system is considered to be extended to the subcontracted</w:t>
            </w:r>
            <w:r>
              <w:rPr>
                <w:spacing w:val="-37"/>
                <w:w w:val="105"/>
                <w:sz w:val="22"/>
              </w:rPr>
              <w:t> </w:t>
            </w:r>
            <w:r>
              <w:rPr>
                <w:w w:val="105"/>
                <w:sz w:val="22"/>
              </w:rPr>
              <w:t>organisations.</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240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spacing w:before="4"/>
              <w:rPr>
                <w:sz w:val="21"/>
              </w:rPr>
            </w:pPr>
          </w:p>
          <w:p>
            <w:pPr>
              <w:pStyle w:val="TableParagraph"/>
              <w:ind w:left="369" w:right="369"/>
              <w:jc w:val="center"/>
              <w:rPr>
                <w:sz w:val="22"/>
              </w:rPr>
            </w:pPr>
            <w:r>
              <w:rPr>
                <w:w w:val="95"/>
                <w:sz w:val="22"/>
              </w:rPr>
              <w:t>AAD-4</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tabs>
                <w:tab w:pos="2627" w:val="left" w:leader="none"/>
                <w:tab w:pos="4138" w:val="left" w:leader="none"/>
              </w:tabs>
              <w:spacing w:line="254" w:lineRule="auto" w:before="1"/>
              <w:ind w:left="64" w:right="59"/>
              <w:jc w:val="both"/>
              <w:rPr>
                <w:sz w:val="22"/>
              </w:rPr>
            </w:pPr>
            <w:r>
              <w:rPr>
                <w:sz w:val="22"/>
              </w:rPr>
              <w:t>With the exception of engines and auxiliary power units, contracts would normally be limited to one organisation per aircraft type for any combination of the subcontracted activities. Where contracts are made with more than one organisation, the CAO should demonstrate that adequate coordination controls are in place and that the individuals’ responsibilities</w:t>
              <w:tab/>
              <w:t>are</w:t>
              <w:tab/>
            </w:r>
            <w:r>
              <w:rPr>
                <w:w w:val="95"/>
                <w:sz w:val="22"/>
              </w:rPr>
              <w:t>clearly</w:t>
            </w:r>
          </w:p>
          <w:p>
            <w:pPr>
              <w:pStyle w:val="TableParagraph"/>
              <w:spacing w:line="248" w:lineRule="exact" w:before="1"/>
              <w:ind w:left="64"/>
              <w:jc w:val="both"/>
              <w:rPr>
                <w:sz w:val="22"/>
              </w:rPr>
            </w:pPr>
            <w:r>
              <w:rPr>
                <w:w w:val="105"/>
                <w:sz w:val="22"/>
              </w:rPr>
              <w:t>defined in the related contracts.</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bl>
    <w:p>
      <w:pPr>
        <w:spacing w:after="0"/>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after="1"/>
        <w:rPr>
          <w:sz w:val="12"/>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1060" w:hRule="atLeast"/>
        </w:trPr>
        <w:tc>
          <w:tcPr>
            <w:tcW w:w="1560" w:type="dxa"/>
            <w:tcBorders>
              <w:left w:val="single" w:sz="4" w:space="0" w:color="3366FF"/>
              <w:bottom w:val="single" w:sz="4" w:space="0" w:color="3366FF"/>
              <w:right w:val="single" w:sz="4" w:space="0" w:color="3366FF"/>
            </w:tcBorders>
          </w:tcPr>
          <w:p>
            <w:pPr>
              <w:pStyle w:val="TableParagraph"/>
              <w:spacing w:before="1"/>
              <w:rPr>
                <w:sz w:val="35"/>
              </w:rPr>
            </w:pPr>
          </w:p>
          <w:p>
            <w:pPr>
              <w:pStyle w:val="TableParagraph"/>
              <w:ind w:left="369" w:right="369"/>
              <w:jc w:val="center"/>
              <w:rPr>
                <w:sz w:val="22"/>
              </w:rPr>
            </w:pPr>
            <w:r>
              <w:rPr>
                <w:w w:val="95"/>
                <w:sz w:val="22"/>
              </w:rPr>
              <w:t>AAD-5</w:t>
            </w:r>
          </w:p>
        </w:tc>
        <w:tc>
          <w:tcPr>
            <w:tcW w:w="1843" w:type="dxa"/>
            <w:tcBorders>
              <w:left w:val="single" w:sz="4" w:space="0" w:color="3366FF"/>
              <w:bottom w:val="single" w:sz="4" w:space="0" w:color="3366FF"/>
              <w:right w:val="single" w:sz="4" w:space="0" w:color="3366FF"/>
            </w:tcBorders>
          </w:tcPr>
          <w:p>
            <w:pPr>
              <w:pStyle w:val="TableParagraph"/>
              <w:rPr>
                <w:sz w:val="22"/>
              </w:rPr>
            </w:pPr>
          </w:p>
        </w:tc>
        <w:tc>
          <w:tcPr>
            <w:tcW w:w="4800" w:type="dxa"/>
            <w:tcBorders>
              <w:left w:val="single" w:sz="4" w:space="0" w:color="3366FF"/>
              <w:bottom w:val="single" w:sz="4" w:space="0" w:color="3366FF"/>
              <w:right w:val="single" w:sz="4" w:space="0" w:color="3366FF"/>
            </w:tcBorders>
          </w:tcPr>
          <w:p>
            <w:pPr>
              <w:pStyle w:val="TableParagraph"/>
              <w:spacing w:line="254" w:lineRule="auto" w:before="1"/>
              <w:ind w:left="64" w:right="58"/>
              <w:jc w:val="both"/>
              <w:rPr>
                <w:sz w:val="22"/>
              </w:rPr>
            </w:pPr>
            <w:r>
              <w:rPr>
                <w:w w:val="105"/>
                <w:sz w:val="22"/>
              </w:rPr>
              <w:t>Contracts should not authorise the subcontracted organisation to subcontract elements of the continuing   airworthiness   management   tasks to</w:t>
            </w:r>
          </w:p>
          <w:p>
            <w:pPr>
              <w:pStyle w:val="TableParagraph"/>
              <w:spacing w:line="248" w:lineRule="exact" w:before="1"/>
              <w:ind w:left="64"/>
              <w:jc w:val="both"/>
              <w:rPr>
                <w:sz w:val="22"/>
              </w:rPr>
            </w:pPr>
            <w:r>
              <w:rPr>
                <w:w w:val="105"/>
                <w:sz w:val="22"/>
              </w:rPr>
              <w:t>other organisations.</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r>
        <w:trPr>
          <w:trHeight w:val="18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2"/>
              <w:rPr>
                <w:sz w:val="22"/>
              </w:rPr>
            </w:pPr>
          </w:p>
          <w:p>
            <w:pPr>
              <w:pStyle w:val="TableParagraph"/>
              <w:ind w:left="369" w:right="369"/>
              <w:jc w:val="center"/>
              <w:rPr>
                <w:sz w:val="22"/>
              </w:rPr>
            </w:pPr>
            <w:r>
              <w:rPr>
                <w:w w:val="95"/>
                <w:sz w:val="22"/>
              </w:rPr>
              <w:t>AAD-6</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7"/>
              <w:jc w:val="both"/>
              <w:rPr>
                <w:sz w:val="22"/>
              </w:rPr>
            </w:pPr>
            <w:r>
              <w:rPr>
                <w:w w:val="105"/>
                <w:sz w:val="22"/>
              </w:rPr>
              <w:t>The competent authority should exercise</w:t>
            </w:r>
            <w:r>
              <w:rPr>
                <w:spacing w:val="-25"/>
                <w:w w:val="105"/>
                <w:sz w:val="22"/>
              </w:rPr>
              <w:t> </w:t>
            </w:r>
            <w:r>
              <w:rPr>
                <w:w w:val="105"/>
                <w:sz w:val="22"/>
              </w:rPr>
              <w:t>oversight of the subcontracted activities through the CAO approval.</w:t>
            </w:r>
            <w:r>
              <w:rPr>
                <w:spacing w:val="-13"/>
                <w:w w:val="105"/>
                <w:sz w:val="22"/>
              </w:rPr>
              <w:t> </w:t>
            </w:r>
            <w:r>
              <w:rPr>
                <w:w w:val="105"/>
                <w:sz w:val="22"/>
              </w:rPr>
              <w:t>The</w:t>
            </w:r>
            <w:r>
              <w:rPr>
                <w:spacing w:val="-12"/>
                <w:w w:val="105"/>
                <w:sz w:val="22"/>
              </w:rPr>
              <w:t> </w:t>
            </w:r>
            <w:r>
              <w:rPr>
                <w:w w:val="105"/>
                <w:sz w:val="22"/>
              </w:rPr>
              <w:t>contracts</w:t>
            </w:r>
            <w:r>
              <w:rPr>
                <w:spacing w:val="-16"/>
                <w:w w:val="105"/>
                <w:sz w:val="22"/>
              </w:rPr>
              <w:t> </w:t>
            </w:r>
            <w:r>
              <w:rPr>
                <w:w w:val="105"/>
                <w:sz w:val="22"/>
              </w:rPr>
              <w:t>should</w:t>
            </w:r>
            <w:r>
              <w:rPr>
                <w:spacing w:val="-14"/>
                <w:w w:val="105"/>
                <w:sz w:val="22"/>
              </w:rPr>
              <w:t> </w:t>
            </w:r>
            <w:r>
              <w:rPr>
                <w:w w:val="105"/>
                <w:sz w:val="22"/>
              </w:rPr>
              <w:t>be</w:t>
            </w:r>
            <w:r>
              <w:rPr>
                <w:spacing w:val="-10"/>
                <w:w w:val="105"/>
                <w:sz w:val="22"/>
              </w:rPr>
              <w:t> </w:t>
            </w:r>
            <w:r>
              <w:rPr>
                <w:w w:val="105"/>
                <w:sz w:val="22"/>
              </w:rPr>
              <w:t>acceptable</w:t>
            </w:r>
            <w:r>
              <w:rPr>
                <w:spacing w:val="-15"/>
                <w:w w:val="105"/>
                <w:sz w:val="22"/>
              </w:rPr>
              <w:t> </w:t>
            </w:r>
            <w:r>
              <w:rPr>
                <w:w w:val="105"/>
                <w:sz w:val="22"/>
              </w:rPr>
              <w:t>to</w:t>
            </w:r>
            <w:r>
              <w:rPr>
                <w:spacing w:val="-10"/>
                <w:w w:val="105"/>
                <w:sz w:val="22"/>
              </w:rPr>
              <w:t> </w:t>
            </w:r>
            <w:r>
              <w:rPr>
                <w:w w:val="105"/>
                <w:sz w:val="22"/>
              </w:rPr>
              <w:t>the competent    authority.    The    CAO    should  only subcontract to organisations which are specified</w:t>
            </w:r>
            <w:r>
              <w:rPr>
                <w:spacing w:val="-43"/>
                <w:w w:val="105"/>
                <w:sz w:val="22"/>
              </w:rPr>
              <w:t> </w:t>
            </w:r>
            <w:r>
              <w:rPr>
                <w:w w:val="105"/>
                <w:sz w:val="22"/>
              </w:rPr>
              <w:t>by</w:t>
            </w:r>
            <w:r>
              <w:rPr>
                <w:spacing w:val="-44"/>
                <w:w w:val="105"/>
                <w:sz w:val="22"/>
              </w:rPr>
              <w:t> </w:t>
            </w:r>
            <w:r>
              <w:rPr>
                <w:w w:val="105"/>
                <w:sz w:val="22"/>
              </w:rPr>
              <w:t>the</w:t>
            </w:r>
            <w:r>
              <w:rPr>
                <w:spacing w:val="-44"/>
                <w:w w:val="105"/>
                <w:sz w:val="22"/>
              </w:rPr>
              <w:t> </w:t>
            </w:r>
            <w:r>
              <w:rPr>
                <w:w w:val="105"/>
                <w:sz w:val="22"/>
              </w:rPr>
              <w:t>competent</w:t>
            </w:r>
            <w:r>
              <w:rPr>
                <w:spacing w:val="-45"/>
                <w:w w:val="105"/>
                <w:sz w:val="22"/>
              </w:rPr>
              <w:t> </w:t>
            </w:r>
            <w:r>
              <w:rPr>
                <w:w w:val="105"/>
                <w:sz w:val="22"/>
              </w:rPr>
              <w:t>authority</w:t>
            </w:r>
            <w:r>
              <w:rPr>
                <w:spacing w:val="-45"/>
                <w:w w:val="105"/>
                <w:sz w:val="22"/>
              </w:rPr>
              <w:t> </w:t>
            </w:r>
            <w:r>
              <w:rPr>
                <w:w w:val="105"/>
                <w:sz w:val="22"/>
              </w:rPr>
              <w:t>on</w:t>
            </w:r>
            <w:r>
              <w:rPr>
                <w:spacing w:val="-43"/>
                <w:w w:val="105"/>
                <w:sz w:val="22"/>
              </w:rPr>
              <w:t> </w:t>
            </w:r>
            <w:r>
              <w:rPr>
                <w:w w:val="105"/>
                <w:sz w:val="22"/>
              </w:rPr>
              <w:t>SHGM</w:t>
            </w:r>
            <w:r>
              <w:rPr>
                <w:spacing w:val="-43"/>
                <w:w w:val="105"/>
                <w:sz w:val="22"/>
              </w:rPr>
              <w:t> </w:t>
            </w:r>
            <w:r>
              <w:rPr>
                <w:w w:val="105"/>
                <w:sz w:val="22"/>
              </w:rPr>
              <w:t>Form</w:t>
            </w:r>
          </w:p>
          <w:p>
            <w:pPr>
              <w:pStyle w:val="TableParagraph"/>
              <w:spacing w:line="245" w:lineRule="exact" w:before="1"/>
              <w:ind w:left="64"/>
              <w:jc w:val="both"/>
              <w:rPr>
                <w:sz w:val="22"/>
              </w:rPr>
            </w:pPr>
            <w:r>
              <w:rPr>
                <w:sz w:val="22"/>
              </w:rPr>
              <w:t>3-CAO</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160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5"/>
              <w:rPr>
                <w:sz w:val="34"/>
              </w:rPr>
            </w:pPr>
          </w:p>
          <w:p>
            <w:pPr>
              <w:pStyle w:val="TableParagraph"/>
              <w:spacing w:before="1"/>
              <w:ind w:left="369" w:right="369"/>
              <w:jc w:val="center"/>
              <w:rPr>
                <w:sz w:val="22"/>
              </w:rPr>
            </w:pPr>
            <w:r>
              <w:rPr>
                <w:w w:val="95"/>
                <w:sz w:val="22"/>
              </w:rPr>
              <w:t>AAD-7</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3"/>
              <w:ind w:left="64" w:right="58"/>
              <w:jc w:val="both"/>
              <w:rPr>
                <w:sz w:val="22"/>
              </w:rPr>
            </w:pPr>
            <w:r>
              <w:rPr>
                <w:sz w:val="22"/>
              </w:rPr>
              <w:t>The subcontracted organisation should agree to notify the CAO of any changes affecting the</w:t>
            </w:r>
            <w:r>
              <w:rPr>
                <w:spacing w:val="-22"/>
                <w:sz w:val="22"/>
              </w:rPr>
              <w:t> </w:t>
            </w:r>
            <w:r>
              <w:rPr>
                <w:sz w:val="22"/>
              </w:rPr>
              <w:t>contract as soon as practical. The CAO should then inform</w:t>
            </w:r>
            <w:r>
              <w:rPr>
                <w:spacing w:val="-21"/>
                <w:sz w:val="22"/>
              </w:rPr>
              <w:t> </w:t>
            </w:r>
            <w:r>
              <w:rPr>
                <w:sz w:val="22"/>
              </w:rPr>
              <w:t>its competent authority. Failure to do so may invalidate the    competent    authority’s    acceptance    of  </w:t>
            </w:r>
            <w:r>
              <w:rPr>
                <w:spacing w:val="50"/>
                <w:sz w:val="22"/>
              </w:rPr>
              <w:t> </w:t>
            </w:r>
            <w:r>
              <w:rPr>
                <w:sz w:val="22"/>
              </w:rPr>
              <w:t>the</w:t>
            </w:r>
          </w:p>
          <w:p>
            <w:pPr>
              <w:pStyle w:val="TableParagraph"/>
              <w:spacing w:line="248" w:lineRule="exact" w:before="1"/>
              <w:ind w:left="64"/>
              <w:jc w:val="both"/>
              <w:rPr>
                <w:sz w:val="22"/>
              </w:rPr>
            </w:pPr>
            <w:r>
              <w:rPr>
                <w:w w:val="105"/>
                <w:sz w:val="22"/>
              </w:rPr>
              <w:t>contract.</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spacing w:line="254" w:lineRule="auto" w:before="3"/>
              <w:ind w:left="69" w:right="65"/>
              <w:jc w:val="both"/>
              <w:rPr>
                <w:sz w:val="22"/>
              </w:rPr>
            </w:pPr>
            <w:r>
              <w:rPr>
                <w:color w:val="FFFFFF"/>
                <w:sz w:val="22"/>
              </w:rPr>
              <w:t>Daha detaylı uygulamalar için CAMO gereklilikleri CAO'ya uygulanabilir. Appendix II to AMC1 CAMO.A.125(d)(3)</w:t>
            </w:r>
          </w:p>
        </w:tc>
      </w:tr>
      <w:tr>
        <w:trPr>
          <w:trHeight w:val="21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10"/>
              <w:rPr>
                <w:sz w:val="33"/>
              </w:rPr>
            </w:pPr>
          </w:p>
          <w:p>
            <w:pPr>
              <w:pStyle w:val="TableParagraph"/>
              <w:ind w:left="369" w:right="370"/>
              <w:jc w:val="center"/>
              <w:rPr>
                <w:sz w:val="22"/>
              </w:rPr>
            </w:pPr>
            <w:r>
              <w:rPr>
                <w:sz w:val="22"/>
              </w:rPr>
              <w:t>31</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10"/>
              <w:rPr>
                <w:sz w:val="33"/>
              </w:rPr>
            </w:pPr>
          </w:p>
          <w:p>
            <w:pPr>
              <w:pStyle w:val="TableParagraph"/>
              <w:ind w:left="64"/>
              <w:rPr>
                <w:sz w:val="22"/>
              </w:rPr>
            </w:pPr>
            <w:r>
              <w:rPr>
                <w:w w:val="90"/>
                <w:sz w:val="22"/>
              </w:rPr>
              <w:t>CAO.A.095 (c)</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8"/>
              <w:jc w:val="both"/>
              <w:rPr>
                <w:sz w:val="22"/>
              </w:rPr>
            </w:pPr>
            <w:r>
              <w:rPr>
                <w:sz w:val="22"/>
              </w:rPr>
              <w:t>Uçuşa elverişlilik gözden geçirme konusunda yekilendirilen CAO aşağıdaki yetkilere sahip olur. 1.) Ülkemizde yerleşik (b) bendi kapsamında sürekli uçuşa elverişlilik yönetimi konusunda yetkiye sahip bir CAO, uygun olduğu duruma göre M.A.901, ML.A.903 veya MD.A.903 maddesi kapsamında uçuşa   elverişlilik   gözden   geçirme gerçekleştirme</w:t>
            </w:r>
          </w:p>
          <w:p>
            <w:pPr>
              <w:pStyle w:val="TableParagraph"/>
              <w:spacing w:line="245" w:lineRule="exact" w:before="1"/>
              <w:ind w:left="64"/>
              <w:jc w:val="both"/>
              <w:rPr>
                <w:sz w:val="22"/>
              </w:rPr>
            </w:pPr>
            <w:r>
              <w:rPr>
                <w:sz w:val="22"/>
              </w:rPr>
              <w:t>konusunda da yetkilendirilebilir.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5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57"/>
              <w:ind w:left="369" w:right="369"/>
              <w:jc w:val="center"/>
              <w:rPr>
                <w:sz w:val="22"/>
              </w:rPr>
            </w:pPr>
            <w:r>
              <w:rPr>
                <w:w w:val="95"/>
                <w:sz w:val="22"/>
              </w:rPr>
              <w:t>AAD-1</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2" w:lineRule="auto" w:before="25"/>
              <w:ind w:left="64" w:right="59"/>
              <w:rPr>
                <w:sz w:val="22"/>
              </w:rPr>
            </w:pPr>
            <w:r>
              <w:rPr>
                <w:w w:val="95"/>
                <w:sz w:val="22"/>
              </w:rPr>
              <w:t>ARC</w:t>
            </w:r>
            <w:r>
              <w:rPr>
                <w:spacing w:val="-16"/>
                <w:w w:val="95"/>
                <w:sz w:val="22"/>
              </w:rPr>
              <w:t> </w:t>
            </w:r>
            <w:r>
              <w:rPr>
                <w:w w:val="95"/>
                <w:sz w:val="22"/>
              </w:rPr>
              <w:t>yayınlayabilir</w:t>
            </w:r>
            <w:r>
              <w:rPr>
                <w:spacing w:val="-17"/>
                <w:w w:val="95"/>
                <w:sz w:val="22"/>
              </w:rPr>
              <w:t> </w:t>
            </w:r>
            <w:r>
              <w:rPr>
                <w:w w:val="95"/>
                <w:sz w:val="22"/>
              </w:rPr>
              <w:t>veya</w:t>
            </w:r>
            <w:r>
              <w:rPr>
                <w:spacing w:val="-18"/>
                <w:w w:val="95"/>
                <w:sz w:val="22"/>
              </w:rPr>
              <w:t> </w:t>
            </w:r>
            <w:r>
              <w:rPr>
                <w:w w:val="95"/>
                <w:sz w:val="22"/>
              </w:rPr>
              <w:t>ARC</w:t>
            </w:r>
            <w:r>
              <w:rPr>
                <w:spacing w:val="-16"/>
                <w:w w:val="95"/>
                <w:sz w:val="22"/>
              </w:rPr>
              <w:t> </w:t>
            </w:r>
            <w:r>
              <w:rPr>
                <w:w w:val="95"/>
                <w:sz w:val="22"/>
              </w:rPr>
              <w:t>yayınlanması</w:t>
            </w:r>
            <w:r>
              <w:rPr>
                <w:spacing w:val="-18"/>
                <w:w w:val="95"/>
                <w:sz w:val="22"/>
              </w:rPr>
              <w:t> </w:t>
            </w:r>
            <w:r>
              <w:rPr>
                <w:w w:val="95"/>
                <w:sz w:val="22"/>
              </w:rPr>
              <w:t>için</w:t>
            </w:r>
            <w:r>
              <w:rPr>
                <w:spacing w:val="-19"/>
                <w:w w:val="95"/>
                <w:sz w:val="22"/>
              </w:rPr>
              <w:t> </w:t>
            </w:r>
            <w:r>
              <w:rPr>
                <w:w w:val="95"/>
                <w:sz w:val="22"/>
              </w:rPr>
              <w:t>tavsiye </w:t>
            </w:r>
            <w:r>
              <w:rPr>
                <w:sz w:val="22"/>
              </w:rPr>
              <w:t>raporu</w:t>
            </w:r>
            <w:r>
              <w:rPr>
                <w:spacing w:val="48"/>
                <w:sz w:val="22"/>
              </w:rPr>
              <w:t> </w:t>
            </w:r>
            <w:r>
              <w:rPr>
                <w:sz w:val="22"/>
              </w:rPr>
              <w:t>düzenlemek.</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bl>
    <w:p>
      <w:pPr>
        <w:spacing w:after="0"/>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214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10"/>
              <w:rPr>
                <w:sz w:val="33"/>
              </w:rPr>
            </w:pPr>
          </w:p>
          <w:p>
            <w:pPr>
              <w:pStyle w:val="TableParagraph"/>
              <w:ind w:left="369" w:right="370"/>
              <w:jc w:val="center"/>
              <w:rPr>
                <w:sz w:val="22"/>
              </w:rPr>
            </w:pPr>
            <w:r>
              <w:rPr>
                <w:sz w:val="22"/>
              </w:rPr>
              <w:t>32</w:t>
            </w:r>
          </w:p>
        </w:tc>
        <w:tc>
          <w:tcPr>
            <w:tcW w:w="1843" w:type="dxa"/>
            <w:tcBorders>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10"/>
              <w:rPr>
                <w:sz w:val="33"/>
              </w:rPr>
            </w:pPr>
          </w:p>
          <w:p>
            <w:pPr>
              <w:pStyle w:val="TableParagraph"/>
              <w:ind w:left="64"/>
              <w:rPr>
                <w:sz w:val="22"/>
              </w:rPr>
            </w:pPr>
            <w:r>
              <w:rPr>
                <w:w w:val="90"/>
                <w:sz w:val="22"/>
              </w:rPr>
              <w:t>CAO.A.095 (d)</w:t>
            </w:r>
          </w:p>
        </w:tc>
        <w:tc>
          <w:tcPr>
            <w:tcW w:w="4800" w:type="dxa"/>
            <w:tcBorders>
              <w:left w:val="single" w:sz="4" w:space="0" w:color="3366FF"/>
              <w:bottom w:val="single" w:sz="4" w:space="0" w:color="3366FF"/>
              <w:right w:val="single" w:sz="4" w:space="0" w:color="3366FF"/>
            </w:tcBorders>
          </w:tcPr>
          <w:p>
            <w:pPr>
              <w:pStyle w:val="TableParagraph"/>
              <w:spacing w:line="254" w:lineRule="auto" w:before="3"/>
              <w:ind w:left="64" w:right="59"/>
              <w:jc w:val="both"/>
              <w:rPr>
                <w:sz w:val="22"/>
              </w:rPr>
            </w:pPr>
            <w:r>
              <w:rPr>
                <w:sz w:val="22"/>
              </w:rPr>
              <w:t>Ülkemizde yerleşik (c) maddesi kapsamında uçuşa elverişlilik gözden geçirme konusunda yetkiye sahip bir CAO, CAE içerisinde uygun bir prosedür bulunması şartıyla, ARC yayınlamak üzere yetkili olduğu hava araçlarına uçuş koşullarına uygunluk sağladığına</w:t>
            </w:r>
            <w:r>
              <w:rPr>
                <w:spacing w:val="-16"/>
                <w:sz w:val="22"/>
              </w:rPr>
              <w:t> </w:t>
            </w:r>
            <w:r>
              <w:rPr>
                <w:sz w:val="22"/>
              </w:rPr>
              <w:t>kanaat</w:t>
            </w:r>
            <w:r>
              <w:rPr>
                <w:spacing w:val="-15"/>
                <w:sz w:val="22"/>
              </w:rPr>
              <w:t> </w:t>
            </w:r>
            <w:r>
              <w:rPr>
                <w:sz w:val="22"/>
              </w:rPr>
              <w:t>getirdiğinde</w:t>
            </w:r>
            <w:r>
              <w:rPr>
                <w:spacing w:val="-13"/>
                <w:sz w:val="22"/>
              </w:rPr>
              <w:t> </w:t>
            </w:r>
            <w:r>
              <w:rPr>
                <w:sz w:val="22"/>
              </w:rPr>
              <w:t>21.A.711</w:t>
            </w:r>
            <w:r>
              <w:rPr>
                <w:spacing w:val="-13"/>
                <w:sz w:val="22"/>
              </w:rPr>
              <w:t> </w:t>
            </w:r>
            <w:r>
              <w:rPr>
                <w:sz w:val="22"/>
              </w:rPr>
              <w:t>(d)</w:t>
            </w:r>
            <w:r>
              <w:rPr>
                <w:spacing w:val="-18"/>
                <w:sz w:val="22"/>
              </w:rPr>
              <w:t> </w:t>
            </w:r>
            <w:r>
              <w:rPr>
                <w:sz w:val="22"/>
              </w:rPr>
              <w:t>maddesi kapsamında özel uçuş  izni onayı  </w:t>
            </w:r>
            <w:r>
              <w:rPr>
                <w:spacing w:val="1"/>
                <w:sz w:val="22"/>
              </w:rPr>
              <w:t> </w:t>
            </w:r>
            <w:r>
              <w:rPr>
                <w:sz w:val="22"/>
              </w:rPr>
              <w:t>vermek  üzere  de</w:t>
            </w:r>
          </w:p>
          <w:p>
            <w:pPr>
              <w:pStyle w:val="TableParagraph"/>
              <w:spacing w:line="248" w:lineRule="exact" w:before="1"/>
              <w:ind w:left="64"/>
              <w:jc w:val="both"/>
              <w:rPr>
                <w:sz w:val="22"/>
              </w:rPr>
            </w:pPr>
            <w:r>
              <w:rPr>
                <w:sz w:val="22"/>
              </w:rPr>
              <w:t>yetkilendirilebilir.</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r>
        <w:trPr>
          <w:trHeight w:val="280" w:hRule="atLeast"/>
        </w:trPr>
        <w:tc>
          <w:tcPr>
            <w:tcW w:w="16018" w:type="dxa"/>
            <w:gridSpan w:val="10"/>
            <w:tcBorders>
              <w:top w:val="single" w:sz="4" w:space="0" w:color="3366FF"/>
              <w:left w:val="single" w:sz="4" w:space="0" w:color="3366FF"/>
              <w:bottom w:val="single" w:sz="4" w:space="0" w:color="3366FF"/>
              <w:right w:val="single" w:sz="4" w:space="0" w:color="3366FF"/>
            </w:tcBorders>
            <w:shd w:val="clear" w:color="auto" w:fill="FFC000"/>
          </w:tcPr>
          <w:p>
            <w:pPr>
              <w:pStyle w:val="TableParagraph"/>
              <w:spacing w:before="1"/>
              <w:ind w:left="64"/>
              <w:rPr>
                <w:sz w:val="22"/>
              </w:rPr>
            </w:pPr>
            <w:r>
              <w:rPr>
                <w:sz w:val="22"/>
              </w:rPr>
              <w:t>CAO.A.100 Kalite sistemi ve organizasyonel gözden geçirme</w:t>
            </w:r>
          </w:p>
        </w:tc>
      </w:tr>
      <w:tr>
        <w:trPr>
          <w:trHeight w:val="260" w:hRule="atLeast"/>
        </w:trPr>
        <w:tc>
          <w:tcPr>
            <w:tcW w:w="1560" w:type="dxa"/>
            <w:tcBorders>
              <w:top w:val="single" w:sz="4" w:space="0" w:color="3366FF"/>
              <w:left w:val="single" w:sz="4" w:space="0" w:color="3366FF"/>
              <w:bottom w:val="nil"/>
              <w:right w:val="single" w:sz="4" w:space="0" w:color="3366FF"/>
            </w:tcBorders>
          </w:tcPr>
          <w:p>
            <w:pPr>
              <w:pStyle w:val="TableParagraph"/>
              <w:rPr>
                <w:sz w:val="18"/>
              </w:rPr>
            </w:pPr>
          </w:p>
        </w:tc>
        <w:tc>
          <w:tcPr>
            <w:tcW w:w="1843" w:type="dxa"/>
            <w:tcBorders>
              <w:top w:val="single" w:sz="4" w:space="0" w:color="3366FF"/>
              <w:left w:val="single" w:sz="4" w:space="0" w:color="3366FF"/>
              <w:bottom w:val="nil"/>
              <w:right w:val="single" w:sz="4" w:space="0" w:color="3366FF"/>
            </w:tcBorders>
          </w:tcPr>
          <w:p>
            <w:pPr>
              <w:pStyle w:val="TableParagraph"/>
              <w:rPr>
                <w:sz w:val="18"/>
              </w:rPr>
            </w:pPr>
          </w:p>
        </w:tc>
        <w:tc>
          <w:tcPr>
            <w:tcW w:w="4800" w:type="dxa"/>
            <w:tcBorders>
              <w:top w:val="single" w:sz="4" w:space="0" w:color="3366FF"/>
              <w:left w:val="single" w:sz="4" w:space="0" w:color="3366FF"/>
              <w:bottom w:val="nil"/>
              <w:right w:val="single" w:sz="4" w:space="0" w:color="3366FF"/>
            </w:tcBorders>
          </w:tcPr>
          <w:p>
            <w:pPr>
              <w:pStyle w:val="TableParagraph"/>
              <w:rPr>
                <w:sz w:val="18"/>
              </w:rPr>
            </w:pPr>
          </w:p>
        </w:tc>
        <w:tc>
          <w:tcPr>
            <w:tcW w:w="497" w:type="dxa"/>
            <w:vMerge w:val="restart"/>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vMerge w:val="restart"/>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vMerge w:val="restart"/>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vMerge w:val="restart"/>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vMerge w:val="restart"/>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vMerge w:val="restart"/>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spacing w:line="240" w:lineRule="exact" w:before="1"/>
              <w:ind w:left="69"/>
              <w:rPr>
                <w:sz w:val="22"/>
              </w:rPr>
            </w:pPr>
            <w:r>
              <w:rPr>
                <w:color w:val="FFFFFF"/>
                <w:sz w:val="22"/>
              </w:rPr>
              <w:t>(a) The primary objectives of the quality system are to</w:t>
            </w:r>
          </w:p>
        </w:tc>
      </w:tr>
      <w:tr>
        <w:trPr>
          <w:trHeight w:val="240" w:hRule="atLeast"/>
        </w:trPr>
        <w:tc>
          <w:tcPr>
            <w:tcW w:w="1560" w:type="dxa"/>
            <w:tcBorders>
              <w:top w:val="nil"/>
              <w:left w:val="single" w:sz="4" w:space="0" w:color="3366FF"/>
              <w:bottom w:val="nil"/>
              <w:right w:val="single" w:sz="4" w:space="0" w:color="3366FF"/>
            </w:tcBorders>
          </w:tcPr>
          <w:p>
            <w:pPr>
              <w:pStyle w:val="TableParagraph"/>
              <w:rPr>
                <w:sz w:val="18"/>
              </w:rPr>
            </w:pPr>
          </w:p>
        </w:tc>
        <w:tc>
          <w:tcPr>
            <w:tcW w:w="1843" w:type="dxa"/>
            <w:tcBorders>
              <w:top w:val="nil"/>
              <w:left w:val="single" w:sz="4" w:space="0" w:color="3366FF"/>
              <w:bottom w:val="nil"/>
              <w:right w:val="single" w:sz="4" w:space="0" w:color="3366FF"/>
            </w:tcBorders>
          </w:tcPr>
          <w:p>
            <w:pPr>
              <w:pStyle w:val="TableParagraph"/>
              <w:rPr>
                <w:sz w:val="18"/>
              </w:rPr>
            </w:pPr>
          </w:p>
        </w:tc>
        <w:tc>
          <w:tcPr>
            <w:tcW w:w="4800" w:type="dxa"/>
            <w:tcBorders>
              <w:top w:val="nil"/>
              <w:left w:val="single" w:sz="4" w:space="0" w:color="3366FF"/>
              <w:bottom w:val="nil"/>
              <w:right w:val="single" w:sz="4" w:space="0" w:color="3366FF"/>
            </w:tcBorders>
          </w:tcPr>
          <w:p>
            <w:pPr>
              <w:pStyle w:val="TableParagraph"/>
              <w:rPr>
                <w:sz w:val="18"/>
              </w:rPr>
            </w:pP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tabs>
                <w:tab w:pos="1015" w:val="left" w:leader="none"/>
                <w:tab w:pos="1494" w:val="left" w:leader="none"/>
                <w:tab w:pos="2899" w:val="left" w:leader="none"/>
                <w:tab w:pos="4155" w:val="left" w:leader="none"/>
              </w:tabs>
              <w:spacing w:line="239" w:lineRule="exact"/>
              <w:ind w:left="69"/>
              <w:rPr>
                <w:sz w:val="22"/>
              </w:rPr>
            </w:pPr>
            <w:r>
              <w:rPr>
                <w:color w:val="FFFFFF"/>
                <w:w w:val="105"/>
                <w:sz w:val="22"/>
              </w:rPr>
              <w:t>provide</w:t>
              <w:tab/>
              <w:t>an</w:t>
              <w:tab/>
              <w:t>independent</w:t>
              <w:tab/>
              <w:t>monitoring</w:t>
              <w:tab/>
              <w:t>function</w:t>
            </w:r>
          </w:p>
        </w:tc>
      </w:tr>
      <w:tr>
        <w:trPr>
          <w:trHeight w:val="240" w:hRule="atLeast"/>
        </w:trPr>
        <w:tc>
          <w:tcPr>
            <w:tcW w:w="1560" w:type="dxa"/>
            <w:tcBorders>
              <w:top w:val="nil"/>
              <w:left w:val="single" w:sz="4" w:space="0" w:color="3366FF"/>
              <w:bottom w:val="nil"/>
              <w:right w:val="single" w:sz="4" w:space="0" w:color="3366FF"/>
            </w:tcBorders>
          </w:tcPr>
          <w:p>
            <w:pPr>
              <w:pStyle w:val="TableParagraph"/>
              <w:rPr>
                <w:sz w:val="18"/>
              </w:rPr>
            </w:pPr>
          </w:p>
        </w:tc>
        <w:tc>
          <w:tcPr>
            <w:tcW w:w="1843" w:type="dxa"/>
            <w:tcBorders>
              <w:top w:val="nil"/>
              <w:left w:val="single" w:sz="4" w:space="0" w:color="3366FF"/>
              <w:bottom w:val="nil"/>
              <w:right w:val="single" w:sz="4" w:space="0" w:color="3366FF"/>
            </w:tcBorders>
          </w:tcPr>
          <w:p>
            <w:pPr>
              <w:pStyle w:val="TableParagraph"/>
              <w:rPr>
                <w:sz w:val="18"/>
              </w:rPr>
            </w:pPr>
          </w:p>
        </w:tc>
        <w:tc>
          <w:tcPr>
            <w:tcW w:w="4800" w:type="dxa"/>
            <w:tcBorders>
              <w:top w:val="nil"/>
              <w:left w:val="single" w:sz="4" w:space="0" w:color="3366FF"/>
              <w:bottom w:val="nil"/>
              <w:right w:val="single" w:sz="4" w:space="0" w:color="3366FF"/>
            </w:tcBorders>
          </w:tcPr>
          <w:p>
            <w:pPr>
              <w:pStyle w:val="TableParagraph"/>
              <w:rPr>
                <w:sz w:val="18"/>
              </w:rPr>
            </w:pP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spacing w:line="239" w:lineRule="exact"/>
              <w:ind w:left="69"/>
              <w:rPr>
                <w:sz w:val="22"/>
              </w:rPr>
            </w:pPr>
            <w:r>
              <w:rPr>
                <w:color w:val="FFFFFF"/>
                <w:w w:val="105"/>
                <w:sz w:val="22"/>
              </w:rPr>
              <w:t>on</w:t>
            </w:r>
            <w:r>
              <w:rPr>
                <w:color w:val="FFFFFF"/>
                <w:spacing w:val="-12"/>
                <w:w w:val="105"/>
                <w:sz w:val="22"/>
              </w:rPr>
              <w:t> </w:t>
            </w:r>
            <w:r>
              <w:rPr>
                <w:color w:val="FFFFFF"/>
                <w:w w:val="105"/>
                <w:sz w:val="22"/>
              </w:rPr>
              <w:t>how</w:t>
            </w:r>
            <w:r>
              <w:rPr>
                <w:color w:val="FFFFFF"/>
                <w:spacing w:val="-14"/>
                <w:w w:val="105"/>
                <w:sz w:val="22"/>
              </w:rPr>
              <w:t> </w:t>
            </w:r>
            <w:r>
              <w:rPr>
                <w:color w:val="FFFFFF"/>
                <w:w w:val="105"/>
                <w:sz w:val="22"/>
              </w:rPr>
              <w:t>the</w:t>
            </w:r>
            <w:r>
              <w:rPr>
                <w:color w:val="FFFFFF"/>
                <w:spacing w:val="-13"/>
                <w:w w:val="105"/>
                <w:sz w:val="22"/>
              </w:rPr>
              <w:t> </w:t>
            </w:r>
            <w:r>
              <w:rPr>
                <w:color w:val="FFFFFF"/>
                <w:w w:val="105"/>
                <w:sz w:val="22"/>
              </w:rPr>
              <w:t>organisation</w:t>
            </w:r>
            <w:r>
              <w:rPr>
                <w:color w:val="FFFFFF"/>
                <w:spacing w:val="-15"/>
                <w:w w:val="105"/>
                <w:sz w:val="22"/>
              </w:rPr>
              <w:t> </w:t>
            </w:r>
            <w:r>
              <w:rPr>
                <w:color w:val="FFFFFF"/>
                <w:w w:val="105"/>
                <w:sz w:val="22"/>
              </w:rPr>
              <w:t>ensures</w:t>
            </w:r>
            <w:r>
              <w:rPr>
                <w:color w:val="FFFFFF"/>
                <w:spacing w:val="-12"/>
                <w:w w:val="105"/>
                <w:sz w:val="22"/>
              </w:rPr>
              <w:t> </w:t>
            </w:r>
            <w:r>
              <w:rPr>
                <w:color w:val="FFFFFF"/>
                <w:w w:val="105"/>
                <w:sz w:val="22"/>
              </w:rPr>
              <w:t>compliance</w:t>
            </w:r>
            <w:r>
              <w:rPr>
                <w:color w:val="FFFFFF"/>
                <w:spacing w:val="-13"/>
                <w:w w:val="105"/>
                <w:sz w:val="22"/>
              </w:rPr>
              <w:t> </w:t>
            </w:r>
            <w:r>
              <w:rPr>
                <w:color w:val="FFFFFF"/>
                <w:w w:val="105"/>
                <w:sz w:val="22"/>
              </w:rPr>
              <w:t>with</w:t>
            </w:r>
            <w:r>
              <w:rPr>
                <w:color w:val="FFFFFF"/>
                <w:spacing w:val="-15"/>
                <w:w w:val="105"/>
                <w:sz w:val="22"/>
              </w:rPr>
              <w:t> </w:t>
            </w:r>
            <w:r>
              <w:rPr>
                <w:color w:val="FFFFFF"/>
                <w:w w:val="105"/>
                <w:sz w:val="22"/>
              </w:rPr>
              <w:t>the</w:t>
            </w:r>
          </w:p>
        </w:tc>
      </w:tr>
      <w:tr>
        <w:trPr>
          <w:trHeight w:val="240" w:hRule="atLeast"/>
        </w:trPr>
        <w:tc>
          <w:tcPr>
            <w:tcW w:w="1560" w:type="dxa"/>
            <w:tcBorders>
              <w:top w:val="nil"/>
              <w:left w:val="single" w:sz="4" w:space="0" w:color="3366FF"/>
              <w:bottom w:val="nil"/>
              <w:right w:val="single" w:sz="4" w:space="0" w:color="3366FF"/>
            </w:tcBorders>
          </w:tcPr>
          <w:p>
            <w:pPr>
              <w:pStyle w:val="TableParagraph"/>
              <w:rPr>
                <w:sz w:val="18"/>
              </w:rPr>
            </w:pPr>
          </w:p>
        </w:tc>
        <w:tc>
          <w:tcPr>
            <w:tcW w:w="1843" w:type="dxa"/>
            <w:tcBorders>
              <w:top w:val="nil"/>
              <w:left w:val="single" w:sz="4" w:space="0" w:color="3366FF"/>
              <w:bottom w:val="nil"/>
              <w:right w:val="single" w:sz="4" w:space="0" w:color="3366FF"/>
            </w:tcBorders>
          </w:tcPr>
          <w:p>
            <w:pPr>
              <w:pStyle w:val="TableParagraph"/>
              <w:rPr>
                <w:sz w:val="18"/>
              </w:rPr>
            </w:pPr>
          </w:p>
        </w:tc>
        <w:tc>
          <w:tcPr>
            <w:tcW w:w="4800" w:type="dxa"/>
            <w:tcBorders>
              <w:top w:val="nil"/>
              <w:left w:val="single" w:sz="4" w:space="0" w:color="3366FF"/>
              <w:bottom w:val="nil"/>
              <w:right w:val="single" w:sz="4" w:space="0" w:color="3366FF"/>
            </w:tcBorders>
          </w:tcPr>
          <w:p>
            <w:pPr>
              <w:pStyle w:val="TableParagraph"/>
              <w:rPr>
                <w:sz w:val="18"/>
              </w:rPr>
            </w:pP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tabs>
                <w:tab w:pos="1527" w:val="left" w:leader="none"/>
                <w:tab w:pos="3345" w:val="left" w:leader="none"/>
                <w:tab w:pos="4566" w:val="left" w:leader="none"/>
              </w:tabs>
              <w:spacing w:line="238" w:lineRule="exact"/>
              <w:ind w:left="69"/>
              <w:rPr>
                <w:sz w:val="22"/>
              </w:rPr>
            </w:pPr>
            <w:r>
              <w:rPr>
                <w:color w:val="FFFFFF"/>
                <w:w w:val="105"/>
                <w:sz w:val="22"/>
              </w:rPr>
              <w:t>applicable</w:t>
              <w:tab/>
              <w:t>requirements,</w:t>
              <w:tab/>
              <w:t>policies</w:t>
              <w:tab/>
              <w:t>and</w:t>
            </w:r>
          </w:p>
        </w:tc>
      </w:tr>
      <w:tr>
        <w:trPr>
          <w:trHeight w:val="240" w:hRule="atLeast"/>
        </w:trPr>
        <w:tc>
          <w:tcPr>
            <w:tcW w:w="1560" w:type="dxa"/>
            <w:tcBorders>
              <w:top w:val="nil"/>
              <w:left w:val="single" w:sz="4" w:space="0" w:color="3366FF"/>
              <w:bottom w:val="nil"/>
              <w:right w:val="single" w:sz="4" w:space="0" w:color="3366FF"/>
            </w:tcBorders>
          </w:tcPr>
          <w:p>
            <w:pPr>
              <w:pStyle w:val="TableParagraph"/>
              <w:rPr>
                <w:sz w:val="18"/>
              </w:rPr>
            </w:pPr>
          </w:p>
        </w:tc>
        <w:tc>
          <w:tcPr>
            <w:tcW w:w="1843" w:type="dxa"/>
            <w:tcBorders>
              <w:top w:val="nil"/>
              <w:left w:val="single" w:sz="4" w:space="0" w:color="3366FF"/>
              <w:bottom w:val="nil"/>
              <w:right w:val="single" w:sz="4" w:space="0" w:color="3366FF"/>
            </w:tcBorders>
          </w:tcPr>
          <w:p>
            <w:pPr>
              <w:pStyle w:val="TableParagraph"/>
              <w:rPr>
                <w:sz w:val="18"/>
              </w:rPr>
            </w:pPr>
          </w:p>
        </w:tc>
        <w:tc>
          <w:tcPr>
            <w:tcW w:w="4800" w:type="dxa"/>
            <w:tcBorders>
              <w:top w:val="nil"/>
              <w:left w:val="single" w:sz="4" w:space="0" w:color="3366FF"/>
              <w:bottom w:val="nil"/>
              <w:right w:val="single" w:sz="4" w:space="0" w:color="3366FF"/>
            </w:tcBorders>
          </w:tcPr>
          <w:p>
            <w:pPr>
              <w:pStyle w:val="TableParagraph"/>
              <w:rPr>
                <w:sz w:val="18"/>
              </w:rPr>
            </w:pP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spacing w:line="238" w:lineRule="exact"/>
              <w:ind w:left="69"/>
              <w:rPr>
                <w:sz w:val="22"/>
              </w:rPr>
            </w:pPr>
            <w:r>
              <w:rPr>
                <w:color w:val="FFFFFF"/>
                <w:w w:val="105"/>
                <w:sz w:val="22"/>
              </w:rPr>
              <w:t>procedures,   and   to   request   actions   where non-</w:t>
            </w:r>
          </w:p>
        </w:tc>
      </w:tr>
      <w:tr>
        <w:trPr>
          <w:trHeight w:val="240" w:hRule="atLeast"/>
        </w:trPr>
        <w:tc>
          <w:tcPr>
            <w:tcW w:w="1560" w:type="dxa"/>
            <w:tcBorders>
              <w:top w:val="nil"/>
              <w:left w:val="single" w:sz="4" w:space="0" w:color="3366FF"/>
              <w:bottom w:val="nil"/>
              <w:right w:val="single" w:sz="4" w:space="0" w:color="3366FF"/>
            </w:tcBorders>
          </w:tcPr>
          <w:p>
            <w:pPr>
              <w:pStyle w:val="TableParagraph"/>
              <w:rPr>
                <w:sz w:val="18"/>
              </w:rPr>
            </w:pPr>
          </w:p>
        </w:tc>
        <w:tc>
          <w:tcPr>
            <w:tcW w:w="1843" w:type="dxa"/>
            <w:tcBorders>
              <w:top w:val="nil"/>
              <w:left w:val="single" w:sz="4" w:space="0" w:color="3366FF"/>
              <w:bottom w:val="nil"/>
              <w:right w:val="single" w:sz="4" w:space="0" w:color="3366FF"/>
            </w:tcBorders>
          </w:tcPr>
          <w:p>
            <w:pPr>
              <w:pStyle w:val="TableParagraph"/>
              <w:rPr>
                <w:sz w:val="18"/>
              </w:rPr>
            </w:pPr>
          </w:p>
        </w:tc>
        <w:tc>
          <w:tcPr>
            <w:tcW w:w="4800" w:type="dxa"/>
            <w:tcBorders>
              <w:top w:val="nil"/>
              <w:left w:val="single" w:sz="4" w:space="0" w:color="3366FF"/>
              <w:bottom w:val="nil"/>
              <w:right w:val="single" w:sz="4" w:space="0" w:color="3366FF"/>
            </w:tcBorders>
          </w:tcPr>
          <w:p>
            <w:pPr>
              <w:pStyle w:val="TableParagraph"/>
              <w:rPr>
                <w:sz w:val="18"/>
              </w:rPr>
            </w:pP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tabs>
                <w:tab w:pos="2437" w:val="left" w:leader="none"/>
                <w:tab w:pos="3988" w:val="left" w:leader="none"/>
              </w:tabs>
              <w:spacing w:line="239" w:lineRule="exact"/>
              <w:ind w:left="69"/>
              <w:rPr>
                <w:sz w:val="22"/>
              </w:rPr>
            </w:pPr>
            <w:r>
              <w:rPr>
                <w:color w:val="FFFFFF"/>
                <w:w w:val="105"/>
                <w:sz w:val="22"/>
              </w:rPr>
              <w:t>compliances</w:t>
              <w:tab/>
              <w:t>are</w:t>
              <w:tab/>
              <w:t>identified.</w:t>
            </w:r>
          </w:p>
        </w:tc>
      </w:tr>
      <w:tr>
        <w:trPr>
          <w:trHeight w:val="240" w:hRule="atLeast"/>
        </w:trPr>
        <w:tc>
          <w:tcPr>
            <w:tcW w:w="1560" w:type="dxa"/>
            <w:tcBorders>
              <w:top w:val="nil"/>
              <w:left w:val="single" w:sz="4" w:space="0" w:color="3366FF"/>
              <w:bottom w:val="nil"/>
              <w:right w:val="single" w:sz="4" w:space="0" w:color="3366FF"/>
            </w:tcBorders>
          </w:tcPr>
          <w:p>
            <w:pPr>
              <w:pStyle w:val="TableParagraph"/>
              <w:rPr>
                <w:sz w:val="18"/>
              </w:rPr>
            </w:pPr>
          </w:p>
        </w:tc>
        <w:tc>
          <w:tcPr>
            <w:tcW w:w="1843" w:type="dxa"/>
            <w:tcBorders>
              <w:top w:val="nil"/>
              <w:left w:val="single" w:sz="4" w:space="0" w:color="3366FF"/>
              <w:bottom w:val="nil"/>
              <w:right w:val="single" w:sz="4" w:space="0" w:color="3366FF"/>
            </w:tcBorders>
          </w:tcPr>
          <w:p>
            <w:pPr>
              <w:pStyle w:val="TableParagraph"/>
              <w:rPr>
                <w:sz w:val="18"/>
              </w:rPr>
            </w:pPr>
          </w:p>
        </w:tc>
        <w:tc>
          <w:tcPr>
            <w:tcW w:w="4800" w:type="dxa"/>
            <w:tcBorders>
              <w:top w:val="nil"/>
              <w:left w:val="single" w:sz="4" w:space="0" w:color="3366FF"/>
              <w:bottom w:val="nil"/>
              <w:right w:val="single" w:sz="4" w:space="0" w:color="3366FF"/>
            </w:tcBorders>
          </w:tcPr>
          <w:p>
            <w:pPr>
              <w:pStyle w:val="TableParagraph"/>
              <w:rPr>
                <w:sz w:val="18"/>
              </w:rPr>
            </w:pP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spacing w:line="239" w:lineRule="exact"/>
              <w:ind w:left="69"/>
              <w:rPr>
                <w:sz w:val="22"/>
              </w:rPr>
            </w:pPr>
            <w:r>
              <w:rPr>
                <w:color w:val="FFFFFF"/>
                <w:w w:val="105"/>
                <w:sz w:val="22"/>
              </w:rPr>
              <w:t>(b)   The  independence  of   the  quality  system   is</w:t>
            </w:r>
          </w:p>
        </w:tc>
      </w:tr>
      <w:tr>
        <w:trPr>
          <w:trHeight w:val="2740" w:hRule="atLeast"/>
        </w:trPr>
        <w:tc>
          <w:tcPr>
            <w:tcW w:w="1560" w:type="dxa"/>
            <w:tcBorders>
              <w:top w:val="nil"/>
              <w:left w:val="single" w:sz="4" w:space="0" w:color="3366FF"/>
              <w:bottom w:val="single" w:sz="4" w:space="0" w:color="3366FF"/>
              <w:right w:val="single" w:sz="4" w:space="0" w:color="3366FF"/>
            </w:tcBorders>
          </w:tcPr>
          <w:p>
            <w:pPr>
              <w:pStyle w:val="TableParagraph"/>
              <w:spacing w:before="6"/>
              <w:rPr>
                <w:sz w:val="26"/>
              </w:rPr>
            </w:pPr>
          </w:p>
          <w:p>
            <w:pPr>
              <w:pStyle w:val="TableParagraph"/>
              <w:ind w:left="369" w:right="370"/>
              <w:jc w:val="center"/>
              <w:rPr>
                <w:sz w:val="22"/>
              </w:rPr>
            </w:pPr>
            <w:r>
              <w:rPr>
                <w:sz w:val="22"/>
              </w:rPr>
              <w:t>33</w:t>
            </w:r>
          </w:p>
        </w:tc>
        <w:tc>
          <w:tcPr>
            <w:tcW w:w="1843" w:type="dxa"/>
            <w:tcBorders>
              <w:top w:val="nil"/>
              <w:left w:val="single" w:sz="4" w:space="0" w:color="3366FF"/>
              <w:bottom w:val="single" w:sz="4" w:space="0" w:color="3366FF"/>
              <w:right w:val="single" w:sz="4" w:space="0" w:color="3366FF"/>
            </w:tcBorders>
          </w:tcPr>
          <w:p>
            <w:pPr>
              <w:pStyle w:val="TableParagraph"/>
              <w:spacing w:before="6"/>
              <w:rPr>
                <w:sz w:val="26"/>
              </w:rPr>
            </w:pPr>
          </w:p>
          <w:p>
            <w:pPr>
              <w:pStyle w:val="TableParagraph"/>
              <w:ind w:left="64"/>
              <w:rPr>
                <w:sz w:val="22"/>
              </w:rPr>
            </w:pPr>
            <w:r>
              <w:rPr>
                <w:w w:val="90"/>
                <w:sz w:val="22"/>
              </w:rPr>
              <w:t>CAO.A.100 (a)</w:t>
            </w:r>
          </w:p>
        </w:tc>
        <w:tc>
          <w:tcPr>
            <w:tcW w:w="4800" w:type="dxa"/>
            <w:tcBorders>
              <w:top w:val="nil"/>
              <w:left w:val="single" w:sz="4" w:space="0" w:color="3366FF"/>
              <w:bottom w:val="single" w:sz="4" w:space="0" w:color="3366FF"/>
              <w:right w:val="single" w:sz="4" w:space="0" w:color="3366FF"/>
            </w:tcBorders>
          </w:tcPr>
          <w:p>
            <w:pPr>
              <w:pStyle w:val="TableParagraph"/>
              <w:spacing w:line="254" w:lineRule="auto" w:before="37"/>
              <w:ind w:left="64" w:right="59"/>
              <w:jc w:val="both"/>
              <w:rPr>
                <w:sz w:val="22"/>
              </w:rPr>
            </w:pPr>
            <w:r>
              <w:rPr>
                <w:sz w:val="22"/>
              </w:rPr>
              <w:t>Kuruluş, Part-CAO gerekliliklerinin sürekli olarak yerine getirilmesini sağlamak üzere bir kalite sistemi kurar ve bir kalite müdürü atar.</w:t>
            </w:r>
          </w:p>
        </w:tc>
        <w:tc>
          <w:tcPr>
            <w:tcW w:w="497" w:type="dxa"/>
            <w:vMerge/>
            <w:tcBorders>
              <w:top w:val="nil"/>
              <w:left w:val="single" w:sz="4" w:space="0" w:color="3366FF"/>
              <w:bottom w:val="single" w:sz="4" w:space="0" w:color="3366FF"/>
              <w:right w:val="single" w:sz="4" w:space="0" w:color="3366FF"/>
            </w:tcBorders>
          </w:tcPr>
          <w:p>
            <w:pPr>
              <w:rPr>
                <w:sz w:val="2"/>
                <w:szCs w:val="2"/>
              </w:rPr>
            </w:pPr>
          </w:p>
        </w:tc>
        <w:tc>
          <w:tcPr>
            <w:tcW w:w="492" w:type="dxa"/>
            <w:vMerge/>
            <w:tcBorders>
              <w:top w:val="nil"/>
              <w:left w:val="single" w:sz="4" w:space="0" w:color="3366FF"/>
              <w:bottom w:val="single" w:sz="4" w:space="0" w:color="3366FF"/>
              <w:right w:val="single" w:sz="4" w:space="0" w:color="3366FF"/>
            </w:tcBorders>
          </w:tcPr>
          <w:p>
            <w:pPr>
              <w:rPr>
                <w:sz w:val="2"/>
                <w:szCs w:val="2"/>
              </w:rPr>
            </w:pPr>
          </w:p>
        </w:tc>
        <w:tc>
          <w:tcPr>
            <w:tcW w:w="504" w:type="dxa"/>
            <w:vMerge/>
            <w:tcBorders>
              <w:top w:val="nil"/>
              <w:left w:val="single" w:sz="4" w:space="0" w:color="3366FF"/>
              <w:bottom w:val="single" w:sz="4" w:space="0" w:color="3366FF"/>
              <w:right w:val="single" w:sz="4" w:space="0" w:color="3366FF"/>
            </w:tcBorders>
          </w:tcPr>
          <w:p>
            <w:pPr>
              <w:rPr>
                <w:sz w:val="2"/>
                <w:szCs w:val="2"/>
              </w:rPr>
            </w:pPr>
          </w:p>
        </w:tc>
        <w:tc>
          <w:tcPr>
            <w:tcW w:w="487" w:type="dxa"/>
            <w:vMerge/>
            <w:tcBorders>
              <w:top w:val="nil"/>
              <w:left w:val="single" w:sz="4" w:space="0" w:color="3366FF"/>
              <w:bottom w:val="single" w:sz="4" w:space="0" w:color="3366FF"/>
              <w:right w:val="single" w:sz="4" w:space="0" w:color="3366FF"/>
            </w:tcBorders>
          </w:tcPr>
          <w:p>
            <w:pPr>
              <w:rPr>
                <w:sz w:val="2"/>
                <w:szCs w:val="2"/>
              </w:rPr>
            </w:pPr>
          </w:p>
        </w:tc>
        <w:tc>
          <w:tcPr>
            <w:tcW w:w="418" w:type="dxa"/>
            <w:vMerge/>
            <w:tcBorders>
              <w:top w:val="nil"/>
              <w:left w:val="single" w:sz="4" w:space="0" w:color="3366FF"/>
              <w:bottom w:val="single" w:sz="4" w:space="0" w:color="3366FF"/>
              <w:right w:val="single" w:sz="4" w:space="0" w:color="3366FF"/>
            </w:tcBorders>
          </w:tcPr>
          <w:p>
            <w:pPr>
              <w:rPr>
                <w:sz w:val="2"/>
                <w:szCs w:val="2"/>
              </w:rPr>
            </w:pPr>
          </w:p>
        </w:tc>
        <w:tc>
          <w:tcPr>
            <w:tcW w:w="446" w:type="dxa"/>
            <w:vMerge/>
            <w:tcBorders>
              <w:top w:val="nil"/>
              <w:left w:val="single" w:sz="4" w:space="0" w:color="3366FF"/>
              <w:bottom w:val="single" w:sz="4" w:space="0" w:color="3366FF"/>
              <w:right w:val="single" w:sz="4" w:space="0" w:color="3366FF"/>
            </w:tcBorders>
          </w:tcPr>
          <w:p>
            <w:pPr>
              <w:rPr>
                <w:sz w:val="2"/>
                <w:szCs w:val="2"/>
              </w:rPr>
            </w:pPr>
          </w:p>
        </w:tc>
        <w:tc>
          <w:tcPr>
            <w:tcW w:w="4970" w:type="dxa"/>
            <w:tcBorders>
              <w:top w:val="nil"/>
              <w:left w:val="nil"/>
              <w:bottom w:val="nil"/>
              <w:right w:val="nil"/>
            </w:tcBorders>
            <w:shd w:val="clear" w:color="auto" w:fill="3366FF"/>
          </w:tcPr>
          <w:p>
            <w:pPr>
              <w:pStyle w:val="TableParagraph"/>
              <w:spacing w:line="254" w:lineRule="auto"/>
              <w:ind w:left="69" w:right="67"/>
              <w:jc w:val="both"/>
              <w:rPr>
                <w:sz w:val="22"/>
              </w:rPr>
            </w:pPr>
            <w:r>
              <w:rPr>
                <w:color w:val="FFFFFF"/>
                <w:w w:val="105"/>
                <w:sz w:val="22"/>
              </w:rPr>
              <w:t>established</w:t>
            </w:r>
            <w:r>
              <w:rPr>
                <w:color w:val="FFFFFF"/>
                <w:spacing w:val="-16"/>
                <w:w w:val="105"/>
                <w:sz w:val="22"/>
              </w:rPr>
              <w:t> </w:t>
            </w:r>
            <w:r>
              <w:rPr>
                <w:color w:val="FFFFFF"/>
                <w:w w:val="105"/>
                <w:sz w:val="22"/>
              </w:rPr>
              <w:t>by</w:t>
            </w:r>
            <w:r>
              <w:rPr>
                <w:color w:val="FFFFFF"/>
                <w:spacing w:val="-14"/>
                <w:w w:val="105"/>
                <w:sz w:val="22"/>
              </w:rPr>
              <w:t> </w:t>
            </w:r>
            <w:r>
              <w:rPr>
                <w:color w:val="FFFFFF"/>
                <w:w w:val="105"/>
                <w:sz w:val="22"/>
              </w:rPr>
              <w:t>always</w:t>
            </w:r>
            <w:r>
              <w:rPr>
                <w:color w:val="FFFFFF"/>
                <w:spacing w:val="-17"/>
                <w:w w:val="105"/>
                <w:sz w:val="22"/>
              </w:rPr>
              <w:t> </w:t>
            </w:r>
            <w:r>
              <w:rPr>
                <w:color w:val="FFFFFF"/>
                <w:w w:val="105"/>
                <w:sz w:val="22"/>
              </w:rPr>
              <w:t>ensuring</w:t>
            </w:r>
            <w:r>
              <w:rPr>
                <w:color w:val="FFFFFF"/>
                <w:spacing w:val="-15"/>
                <w:w w:val="105"/>
                <w:sz w:val="22"/>
              </w:rPr>
              <w:t> </w:t>
            </w:r>
            <w:r>
              <w:rPr>
                <w:color w:val="FFFFFF"/>
                <w:w w:val="105"/>
                <w:sz w:val="22"/>
              </w:rPr>
              <w:t>that</w:t>
            </w:r>
            <w:r>
              <w:rPr>
                <w:color w:val="FFFFFF"/>
                <w:spacing w:val="-15"/>
                <w:w w:val="105"/>
                <w:sz w:val="22"/>
              </w:rPr>
              <w:t> </w:t>
            </w:r>
            <w:r>
              <w:rPr>
                <w:color w:val="FFFFFF"/>
                <w:w w:val="105"/>
                <w:sz w:val="22"/>
              </w:rPr>
              <w:t>audits</w:t>
            </w:r>
            <w:r>
              <w:rPr>
                <w:color w:val="FFFFFF"/>
                <w:spacing w:val="-15"/>
                <w:w w:val="105"/>
                <w:sz w:val="22"/>
              </w:rPr>
              <w:t> </w:t>
            </w:r>
            <w:r>
              <w:rPr>
                <w:color w:val="FFFFFF"/>
                <w:w w:val="105"/>
                <w:sz w:val="22"/>
              </w:rPr>
              <w:t>are</w:t>
            </w:r>
            <w:r>
              <w:rPr>
                <w:color w:val="FFFFFF"/>
                <w:spacing w:val="-13"/>
                <w:w w:val="105"/>
                <w:sz w:val="22"/>
              </w:rPr>
              <w:t> </w:t>
            </w:r>
            <w:r>
              <w:rPr>
                <w:color w:val="FFFFFF"/>
                <w:w w:val="105"/>
                <w:sz w:val="22"/>
              </w:rPr>
              <w:t>carried out by personnel who are not responsible for the functions, procedures  or  products  that  are  audited.</w:t>
            </w:r>
          </w:p>
        </w:tc>
      </w:tr>
    </w:tbl>
    <w:p>
      <w:pPr>
        <w:spacing w:after="0" w:line="254" w:lineRule="auto"/>
        <w:jc w:val="both"/>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spacing w:before="1"/>
        <w:rPr>
          <w:sz w:val="20"/>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294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8"/>
              <w:rPr>
                <w:sz w:val="20"/>
              </w:rPr>
            </w:pPr>
          </w:p>
          <w:p>
            <w:pPr>
              <w:pStyle w:val="TableParagraph"/>
              <w:ind w:left="369" w:right="369"/>
              <w:jc w:val="center"/>
              <w:rPr>
                <w:sz w:val="22"/>
              </w:rPr>
            </w:pPr>
            <w:r>
              <w:rPr>
                <w:w w:val="95"/>
                <w:sz w:val="22"/>
              </w:rPr>
              <w:t>AAD-1</w:t>
            </w:r>
          </w:p>
        </w:tc>
        <w:tc>
          <w:tcPr>
            <w:tcW w:w="1843" w:type="dxa"/>
            <w:tcBorders>
              <w:left w:val="single" w:sz="4" w:space="0" w:color="3366FF"/>
              <w:bottom w:val="single" w:sz="4" w:space="0" w:color="3366FF"/>
              <w:right w:val="single" w:sz="4" w:space="0" w:color="3366FF"/>
            </w:tcBorders>
          </w:tcPr>
          <w:p>
            <w:pPr>
              <w:pStyle w:val="TableParagraph"/>
              <w:rPr>
                <w:sz w:val="22"/>
              </w:rPr>
            </w:pPr>
          </w:p>
        </w:tc>
        <w:tc>
          <w:tcPr>
            <w:tcW w:w="4800" w:type="dxa"/>
            <w:tcBorders>
              <w:left w:val="single" w:sz="4" w:space="0" w:color="3366FF"/>
              <w:bottom w:val="single" w:sz="4" w:space="0" w:color="3366FF"/>
              <w:right w:val="single" w:sz="4" w:space="0" w:color="3366FF"/>
            </w:tcBorders>
          </w:tcPr>
          <w:p>
            <w:pPr>
              <w:pStyle w:val="TableParagraph"/>
              <w:spacing w:line="254" w:lineRule="auto" w:before="1"/>
              <w:ind w:left="64" w:right="58"/>
              <w:jc w:val="both"/>
              <w:rPr>
                <w:sz w:val="22"/>
              </w:rPr>
            </w:pPr>
            <w:r>
              <w:rPr>
                <w:w w:val="105"/>
                <w:sz w:val="22"/>
              </w:rPr>
              <w:t>The quality system should include a feedback system: </w:t>
            </w:r>
            <w:r>
              <w:rPr>
                <w:spacing w:val="-3"/>
                <w:w w:val="105"/>
                <w:sz w:val="22"/>
              </w:rPr>
              <w:t>it </w:t>
            </w:r>
            <w:r>
              <w:rPr>
                <w:w w:val="105"/>
                <w:sz w:val="22"/>
              </w:rPr>
              <w:t>should ensure that all findings resulting from the independent audits are properly investigated and corrected in a timely manner. It should</w:t>
            </w:r>
            <w:r>
              <w:rPr>
                <w:spacing w:val="-8"/>
                <w:w w:val="105"/>
                <w:sz w:val="22"/>
              </w:rPr>
              <w:t> </w:t>
            </w:r>
            <w:r>
              <w:rPr>
                <w:w w:val="105"/>
                <w:sz w:val="22"/>
              </w:rPr>
              <w:t>address</w:t>
            </w:r>
            <w:r>
              <w:rPr>
                <w:spacing w:val="-11"/>
                <w:w w:val="105"/>
                <w:sz w:val="22"/>
              </w:rPr>
              <w:t> </w:t>
            </w:r>
            <w:r>
              <w:rPr>
                <w:w w:val="105"/>
                <w:sz w:val="22"/>
              </w:rPr>
              <w:t>who</w:t>
            </w:r>
            <w:r>
              <w:rPr>
                <w:spacing w:val="-7"/>
                <w:w w:val="105"/>
                <w:sz w:val="22"/>
              </w:rPr>
              <w:t> </w:t>
            </w:r>
            <w:r>
              <w:rPr>
                <w:spacing w:val="-3"/>
                <w:w w:val="105"/>
                <w:sz w:val="22"/>
              </w:rPr>
              <w:t>is</w:t>
            </w:r>
            <w:r>
              <w:rPr>
                <w:spacing w:val="-7"/>
                <w:w w:val="105"/>
                <w:sz w:val="22"/>
              </w:rPr>
              <w:t> </w:t>
            </w:r>
            <w:r>
              <w:rPr>
                <w:w w:val="105"/>
                <w:sz w:val="22"/>
              </w:rPr>
              <w:t>required</w:t>
            </w:r>
            <w:r>
              <w:rPr>
                <w:spacing w:val="-8"/>
                <w:w w:val="105"/>
                <w:sz w:val="22"/>
              </w:rPr>
              <w:t> </w:t>
            </w:r>
            <w:r>
              <w:rPr>
                <w:w w:val="105"/>
                <w:sz w:val="22"/>
              </w:rPr>
              <w:t>to</w:t>
            </w:r>
            <w:r>
              <w:rPr>
                <w:spacing w:val="-10"/>
                <w:w w:val="105"/>
                <w:sz w:val="22"/>
              </w:rPr>
              <w:t> </w:t>
            </w:r>
            <w:r>
              <w:rPr>
                <w:w w:val="105"/>
                <w:sz w:val="22"/>
              </w:rPr>
              <w:t>rectify</w:t>
            </w:r>
            <w:r>
              <w:rPr>
                <w:spacing w:val="-9"/>
                <w:w w:val="105"/>
                <w:sz w:val="22"/>
              </w:rPr>
              <w:t> </w:t>
            </w:r>
            <w:r>
              <w:rPr>
                <w:w w:val="105"/>
                <w:sz w:val="22"/>
              </w:rPr>
              <w:t>each</w:t>
            </w:r>
            <w:r>
              <w:rPr>
                <w:spacing w:val="-8"/>
                <w:w w:val="105"/>
                <w:sz w:val="22"/>
              </w:rPr>
              <w:t> </w:t>
            </w:r>
            <w:r>
              <w:rPr>
                <w:w w:val="105"/>
                <w:sz w:val="22"/>
              </w:rPr>
              <w:t>non- compliance and the procedure to be followed if rectification is not completed within appropriate timescales. The procedure should enable the accountable manager to be kept informed of any safety</w:t>
            </w:r>
            <w:r>
              <w:rPr>
                <w:spacing w:val="-26"/>
                <w:w w:val="105"/>
                <w:sz w:val="22"/>
              </w:rPr>
              <w:t> </w:t>
            </w:r>
            <w:r>
              <w:rPr>
                <w:w w:val="105"/>
                <w:sz w:val="22"/>
              </w:rPr>
              <w:t>issues</w:t>
            </w:r>
            <w:r>
              <w:rPr>
                <w:spacing w:val="-25"/>
                <w:w w:val="105"/>
                <w:sz w:val="22"/>
              </w:rPr>
              <w:t> </w:t>
            </w:r>
            <w:r>
              <w:rPr>
                <w:w w:val="105"/>
                <w:sz w:val="22"/>
              </w:rPr>
              <w:t>and</w:t>
            </w:r>
            <w:r>
              <w:rPr>
                <w:spacing w:val="-27"/>
                <w:w w:val="105"/>
                <w:sz w:val="22"/>
              </w:rPr>
              <w:t> </w:t>
            </w:r>
            <w:r>
              <w:rPr>
                <w:w w:val="105"/>
                <w:sz w:val="22"/>
              </w:rPr>
              <w:t>the</w:t>
            </w:r>
            <w:r>
              <w:rPr>
                <w:spacing w:val="-27"/>
                <w:w w:val="105"/>
                <w:sz w:val="22"/>
              </w:rPr>
              <w:t> </w:t>
            </w:r>
            <w:r>
              <w:rPr>
                <w:w w:val="105"/>
                <w:sz w:val="22"/>
              </w:rPr>
              <w:t>extent</w:t>
            </w:r>
            <w:r>
              <w:rPr>
                <w:spacing w:val="-26"/>
                <w:w w:val="105"/>
                <w:sz w:val="22"/>
              </w:rPr>
              <w:t> </w:t>
            </w:r>
            <w:r>
              <w:rPr>
                <w:w w:val="105"/>
                <w:sz w:val="22"/>
              </w:rPr>
              <w:t>of</w:t>
            </w:r>
            <w:r>
              <w:rPr>
                <w:spacing w:val="-27"/>
                <w:w w:val="105"/>
                <w:sz w:val="22"/>
              </w:rPr>
              <w:t> </w:t>
            </w:r>
            <w:r>
              <w:rPr>
                <w:w w:val="105"/>
                <w:sz w:val="22"/>
              </w:rPr>
              <w:t>compliance</w:t>
            </w:r>
            <w:r>
              <w:rPr>
                <w:spacing w:val="-27"/>
                <w:w w:val="105"/>
                <w:sz w:val="22"/>
              </w:rPr>
              <w:t> </w:t>
            </w:r>
            <w:r>
              <w:rPr>
                <w:w w:val="105"/>
                <w:sz w:val="22"/>
              </w:rPr>
              <w:t>with</w:t>
            </w:r>
            <w:r>
              <w:rPr>
                <w:spacing w:val="-30"/>
                <w:w w:val="105"/>
                <w:sz w:val="22"/>
              </w:rPr>
              <w:t> </w:t>
            </w:r>
            <w:r>
              <w:rPr>
                <w:w w:val="105"/>
                <w:sz w:val="22"/>
              </w:rPr>
              <w:t>Part-</w:t>
            </w:r>
          </w:p>
          <w:p>
            <w:pPr>
              <w:pStyle w:val="TableParagraph"/>
              <w:spacing w:line="248" w:lineRule="exact" w:before="1"/>
              <w:ind w:left="64"/>
              <w:jc w:val="both"/>
              <w:rPr>
                <w:sz w:val="22"/>
              </w:rPr>
            </w:pPr>
            <w:r>
              <w:rPr>
                <w:w w:val="95"/>
                <w:sz w:val="22"/>
              </w:rPr>
              <w:t>CAO.</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r>
        <w:trPr>
          <w:trHeight w:val="240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spacing w:before="4"/>
              <w:rPr>
                <w:sz w:val="21"/>
              </w:rPr>
            </w:pPr>
          </w:p>
          <w:p>
            <w:pPr>
              <w:pStyle w:val="TableParagraph"/>
              <w:ind w:left="369" w:right="369"/>
              <w:jc w:val="center"/>
              <w:rPr>
                <w:sz w:val="22"/>
              </w:rPr>
            </w:pPr>
            <w:r>
              <w:rPr>
                <w:w w:val="95"/>
                <w:sz w:val="22"/>
              </w:rPr>
              <w:t>AAD-2</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7"/>
              <w:jc w:val="both"/>
              <w:rPr>
                <w:sz w:val="22"/>
              </w:rPr>
            </w:pPr>
            <w:r>
              <w:rPr>
                <w:sz w:val="22"/>
              </w:rPr>
              <w:t>The</w:t>
            </w:r>
            <w:r>
              <w:rPr>
                <w:spacing w:val="-15"/>
                <w:sz w:val="22"/>
              </w:rPr>
              <w:t> </w:t>
            </w:r>
            <w:r>
              <w:rPr>
                <w:sz w:val="22"/>
              </w:rPr>
              <w:t>audit</w:t>
            </w:r>
            <w:r>
              <w:rPr>
                <w:spacing w:val="-18"/>
                <w:sz w:val="22"/>
              </w:rPr>
              <w:t> </w:t>
            </w:r>
            <w:r>
              <w:rPr>
                <w:sz w:val="22"/>
              </w:rPr>
              <w:t>reports</w:t>
            </w:r>
            <w:r>
              <w:rPr>
                <w:spacing w:val="-17"/>
                <w:sz w:val="22"/>
              </w:rPr>
              <w:t> </w:t>
            </w:r>
            <w:r>
              <w:rPr>
                <w:sz w:val="22"/>
              </w:rPr>
              <w:t>referenced</w:t>
            </w:r>
            <w:r>
              <w:rPr>
                <w:spacing w:val="-17"/>
                <w:sz w:val="22"/>
              </w:rPr>
              <w:t> </w:t>
            </w:r>
            <w:r>
              <w:rPr>
                <w:sz w:val="22"/>
              </w:rPr>
              <w:t>in</w:t>
            </w:r>
            <w:r>
              <w:rPr>
                <w:spacing w:val="-18"/>
                <w:sz w:val="22"/>
              </w:rPr>
              <w:t> </w:t>
            </w:r>
            <w:r>
              <w:rPr>
                <w:sz w:val="22"/>
              </w:rPr>
              <w:t>AMC1</w:t>
            </w:r>
            <w:r>
              <w:rPr>
                <w:spacing w:val="-18"/>
                <w:sz w:val="22"/>
              </w:rPr>
              <w:t> </w:t>
            </w:r>
            <w:r>
              <w:rPr>
                <w:sz w:val="22"/>
              </w:rPr>
              <w:t>CAO.A.100(b) should be sent to the relevant department for rectification action giving target rectification dates. Rectification    dates     should     be     discussed with such department  before  the  quality department or nominated auditor confirms such  dates in the report. The relevant department is required</w:t>
            </w:r>
            <w:r>
              <w:rPr>
                <w:spacing w:val="35"/>
                <w:sz w:val="22"/>
              </w:rPr>
              <w:t> </w:t>
            </w:r>
            <w:r>
              <w:rPr>
                <w:sz w:val="22"/>
              </w:rPr>
              <w:t>to</w:t>
            </w:r>
            <w:r>
              <w:rPr>
                <w:spacing w:val="36"/>
                <w:sz w:val="22"/>
              </w:rPr>
              <w:t> </w:t>
            </w:r>
            <w:r>
              <w:rPr>
                <w:sz w:val="22"/>
              </w:rPr>
              <w:t>rectify</w:t>
            </w:r>
            <w:r>
              <w:rPr>
                <w:spacing w:val="38"/>
                <w:sz w:val="22"/>
              </w:rPr>
              <w:t> </w:t>
            </w:r>
            <w:r>
              <w:rPr>
                <w:sz w:val="22"/>
              </w:rPr>
              <w:t>findings</w:t>
            </w:r>
            <w:r>
              <w:rPr>
                <w:spacing w:val="36"/>
                <w:sz w:val="22"/>
              </w:rPr>
              <w:t> </w:t>
            </w:r>
            <w:r>
              <w:rPr>
                <w:sz w:val="22"/>
              </w:rPr>
              <w:t>and</w:t>
            </w:r>
            <w:r>
              <w:rPr>
                <w:spacing w:val="40"/>
                <w:sz w:val="22"/>
              </w:rPr>
              <w:t> </w:t>
            </w:r>
            <w:r>
              <w:rPr>
                <w:sz w:val="22"/>
              </w:rPr>
              <w:t>inform</w:t>
            </w:r>
            <w:r>
              <w:rPr>
                <w:spacing w:val="38"/>
                <w:sz w:val="22"/>
              </w:rPr>
              <w:t> </w:t>
            </w:r>
            <w:r>
              <w:rPr>
                <w:sz w:val="22"/>
              </w:rPr>
              <w:t>the</w:t>
            </w:r>
            <w:r>
              <w:rPr>
                <w:spacing w:val="35"/>
                <w:sz w:val="22"/>
              </w:rPr>
              <w:t> </w:t>
            </w:r>
            <w:r>
              <w:rPr>
                <w:sz w:val="22"/>
              </w:rPr>
              <w:t>quality</w:t>
            </w:r>
          </w:p>
          <w:p>
            <w:pPr>
              <w:pStyle w:val="TableParagraph"/>
              <w:spacing w:line="248" w:lineRule="exact" w:before="1"/>
              <w:ind w:left="64"/>
              <w:jc w:val="both"/>
              <w:rPr>
                <w:sz w:val="22"/>
              </w:rPr>
            </w:pPr>
            <w:r>
              <w:rPr>
                <w:w w:val="105"/>
                <w:sz w:val="22"/>
              </w:rPr>
              <w:t>manager or the auditor of such rectification.</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26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spacing w:before="3"/>
              <w:rPr>
                <w:sz w:val="33"/>
              </w:rPr>
            </w:pPr>
          </w:p>
          <w:p>
            <w:pPr>
              <w:pStyle w:val="TableParagraph"/>
              <w:ind w:left="369" w:right="369"/>
              <w:jc w:val="center"/>
              <w:rPr>
                <w:sz w:val="22"/>
              </w:rPr>
            </w:pPr>
            <w:r>
              <w:rPr>
                <w:w w:val="95"/>
                <w:sz w:val="22"/>
              </w:rPr>
              <w:t>AAD-3</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tabs>
                <w:tab w:pos="971" w:val="left" w:leader="none"/>
                <w:tab w:pos="2671" w:val="left" w:leader="none"/>
                <w:tab w:pos="4069" w:val="left" w:leader="none"/>
              </w:tabs>
              <w:spacing w:line="254" w:lineRule="auto" w:before="1"/>
              <w:ind w:left="64" w:right="60"/>
              <w:jc w:val="both"/>
              <w:rPr>
                <w:sz w:val="22"/>
              </w:rPr>
            </w:pPr>
            <w:r>
              <w:rPr>
                <w:w w:val="105"/>
                <w:sz w:val="22"/>
              </w:rPr>
              <w:t>The accountable manager should hold regular meetings with staff to check the progress of any corrective actions. If these meetings are delegated to the quality manager on a day-to-day basis, then the</w:t>
              <w:tab/>
              <w:t>accountable</w:t>
              <w:tab/>
              <w:t>manager</w:t>
              <w:tab/>
            </w:r>
            <w:r>
              <w:rPr>
                <w:sz w:val="22"/>
              </w:rPr>
              <w:t>should:</w:t>
            </w:r>
          </w:p>
          <w:p>
            <w:pPr>
              <w:pStyle w:val="TableParagraph"/>
              <w:numPr>
                <w:ilvl w:val="0"/>
                <w:numId w:val="5"/>
              </w:numPr>
              <w:tabs>
                <w:tab w:pos="372" w:val="left" w:leader="none"/>
              </w:tabs>
              <w:spacing w:line="254" w:lineRule="auto" w:before="0" w:after="0"/>
              <w:ind w:left="64" w:right="59" w:firstLine="0"/>
              <w:jc w:val="both"/>
              <w:rPr>
                <w:sz w:val="22"/>
              </w:rPr>
            </w:pPr>
            <w:r>
              <w:rPr>
                <w:w w:val="105"/>
                <w:sz w:val="22"/>
              </w:rPr>
              <w:t>meet the senior staff involved at least twice</w:t>
            </w:r>
            <w:r>
              <w:rPr>
                <w:spacing w:val="-19"/>
                <w:w w:val="105"/>
                <w:sz w:val="22"/>
              </w:rPr>
              <w:t> </w:t>
            </w:r>
            <w:r>
              <w:rPr>
                <w:w w:val="105"/>
                <w:sz w:val="22"/>
              </w:rPr>
              <w:t>per year   to    review    the    overall    performance   of   the   compliance   monitoring   function;  </w:t>
            </w:r>
            <w:r>
              <w:rPr>
                <w:spacing w:val="50"/>
                <w:w w:val="105"/>
                <w:sz w:val="22"/>
              </w:rPr>
              <w:t> </w:t>
            </w:r>
            <w:r>
              <w:rPr>
                <w:w w:val="105"/>
                <w:sz w:val="22"/>
              </w:rPr>
              <w:t>and</w:t>
            </w:r>
          </w:p>
          <w:p>
            <w:pPr>
              <w:pStyle w:val="TableParagraph"/>
              <w:numPr>
                <w:ilvl w:val="0"/>
                <w:numId w:val="5"/>
              </w:numPr>
              <w:tabs>
                <w:tab w:pos="372" w:val="left" w:leader="none"/>
              </w:tabs>
              <w:spacing w:line="240" w:lineRule="auto" w:before="2" w:after="0"/>
              <w:ind w:left="64" w:right="0" w:firstLine="0"/>
              <w:jc w:val="both"/>
              <w:rPr>
                <w:sz w:val="22"/>
              </w:rPr>
            </w:pPr>
            <w:r>
              <w:rPr>
                <w:w w:val="105"/>
                <w:sz w:val="22"/>
              </w:rPr>
              <w:t>receive</w:t>
            </w:r>
            <w:r>
              <w:rPr>
                <w:spacing w:val="-12"/>
                <w:w w:val="105"/>
                <w:sz w:val="22"/>
              </w:rPr>
              <w:t> </w:t>
            </w:r>
            <w:r>
              <w:rPr>
                <w:w w:val="105"/>
                <w:sz w:val="22"/>
              </w:rPr>
              <w:t>at</w:t>
            </w:r>
            <w:r>
              <w:rPr>
                <w:spacing w:val="-11"/>
                <w:w w:val="105"/>
                <w:sz w:val="22"/>
              </w:rPr>
              <w:t> </w:t>
            </w:r>
            <w:r>
              <w:rPr>
                <w:w w:val="105"/>
                <w:sz w:val="22"/>
              </w:rPr>
              <w:t>least</w:t>
            </w:r>
            <w:r>
              <w:rPr>
                <w:spacing w:val="-11"/>
                <w:w w:val="105"/>
                <w:sz w:val="22"/>
              </w:rPr>
              <w:t> </w:t>
            </w:r>
            <w:r>
              <w:rPr>
                <w:w w:val="105"/>
                <w:sz w:val="22"/>
              </w:rPr>
              <w:t>a</w:t>
            </w:r>
            <w:r>
              <w:rPr>
                <w:spacing w:val="-12"/>
                <w:w w:val="105"/>
                <w:sz w:val="22"/>
              </w:rPr>
              <w:t> </w:t>
            </w:r>
            <w:r>
              <w:rPr>
                <w:w w:val="105"/>
                <w:sz w:val="22"/>
              </w:rPr>
              <w:t>half-yearly</w:t>
            </w:r>
            <w:r>
              <w:rPr>
                <w:spacing w:val="-10"/>
                <w:w w:val="105"/>
                <w:sz w:val="22"/>
              </w:rPr>
              <w:t> </w:t>
            </w:r>
            <w:r>
              <w:rPr>
                <w:w w:val="105"/>
                <w:sz w:val="22"/>
              </w:rPr>
              <w:t>summary</w:t>
            </w:r>
            <w:r>
              <w:rPr>
                <w:spacing w:val="-10"/>
                <w:w w:val="105"/>
                <w:sz w:val="22"/>
              </w:rPr>
              <w:t> </w:t>
            </w:r>
            <w:r>
              <w:rPr>
                <w:w w:val="105"/>
                <w:sz w:val="22"/>
              </w:rPr>
              <w:t>report</w:t>
            </w:r>
            <w:r>
              <w:rPr>
                <w:spacing w:val="-11"/>
                <w:w w:val="105"/>
                <w:sz w:val="22"/>
              </w:rPr>
              <w:t> </w:t>
            </w:r>
            <w:r>
              <w:rPr>
                <w:w w:val="105"/>
                <w:sz w:val="22"/>
              </w:rPr>
              <w:t>on</w:t>
            </w:r>
          </w:p>
          <w:p>
            <w:pPr>
              <w:pStyle w:val="TableParagraph"/>
              <w:spacing w:line="248" w:lineRule="exact" w:before="15"/>
              <w:ind w:left="64"/>
              <w:jc w:val="both"/>
              <w:rPr>
                <w:sz w:val="22"/>
              </w:rPr>
            </w:pPr>
            <w:r>
              <w:rPr>
                <w:sz w:val="22"/>
              </w:rPr>
              <w:t>non-compliance findings.</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bl>
    <w:p>
      <w:pPr>
        <w:spacing w:after="0"/>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spacing w:before="3"/>
        <w:rPr>
          <w:sz w:val="18"/>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580" w:hRule="atLeast"/>
        </w:trPr>
        <w:tc>
          <w:tcPr>
            <w:tcW w:w="1560" w:type="dxa"/>
            <w:tcBorders>
              <w:left w:val="single" w:sz="4" w:space="0" w:color="3366FF"/>
              <w:bottom w:val="single" w:sz="4" w:space="0" w:color="3366FF"/>
              <w:right w:val="single" w:sz="4" w:space="0" w:color="3366FF"/>
            </w:tcBorders>
          </w:tcPr>
          <w:p>
            <w:pPr>
              <w:pStyle w:val="TableParagraph"/>
              <w:spacing w:before="157"/>
              <w:ind w:left="369" w:right="370"/>
              <w:jc w:val="center"/>
              <w:rPr>
                <w:sz w:val="22"/>
              </w:rPr>
            </w:pPr>
            <w:r>
              <w:rPr>
                <w:sz w:val="22"/>
              </w:rPr>
              <w:t>34</w:t>
            </w:r>
          </w:p>
        </w:tc>
        <w:tc>
          <w:tcPr>
            <w:tcW w:w="1843" w:type="dxa"/>
            <w:tcBorders>
              <w:left w:val="single" w:sz="4" w:space="0" w:color="3366FF"/>
              <w:bottom w:val="single" w:sz="4" w:space="0" w:color="3366FF"/>
              <w:right w:val="single" w:sz="4" w:space="0" w:color="3366FF"/>
            </w:tcBorders>
          </w:tcPr>
          <w:p>
            <w:pPr>
              <w:pStyle w:val="TableParagraph"/>
              <w:spacing w:before="157"/>
              <w:ind w:left="64"/>
              <w:rPr>
                <w:sz w:val="22"/>
              </w:rPr>
            </w:pPr>
            <w:r>
              <w:rPr>
                <w:w w:val="90"/>
                <w:sz w:val="22"/>
              </w:rPr>
              <w:t>CAO.A.100 (b)</w:t>
            </w:r>
          </w:p>
        </w:tc>
        <w:tc>
          <w:tcPr>
            <w:tcW w:w="4800" w:type="dxa"/>
            <w:tcBorders>
              <w:left w:val="single" w:sz="4" w:space="0" w:color="3366FF"/>
              <w:bottom w:val="single" w:sz="4" w:space="0" w:color="3366FF"/>
              <w:right w:val="single" w:sz="4" w:space="0" w:color="3366FF"/>
            </w:tcBorders>
          </w:tcPr>
          <w:p>
            <w:pPr>
              <w:pStyle w:val="TableParagraph"/>
              <w:spacing w:line="254" w:lineRule="auto" w:before="22"/>
              <w:ind w:left="64" w:right="59"/>
              <w:rPr>
                <w:sz w:val="22"/>
              </w:rPr>
            </w:pPr>
            <w:r>
              <w:rPr>
                <w:sz w:val="22"/>
              </w:rPr>
              <w:t>Kalite sistemi, kuruluşun Part-CAO kapsamında gerçekleştirdiği faaliyetleri izler</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r>
        <w:trPr>
          <w:trHeight w:val="18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2"/>
              <w:rPr>
                <w:sz w:val="22"/>
              </w:rPr>
            </w:pPr>
          </w:p>
          <w:p>
            <w:pPr>
              <w:pStyle w:val="TableParagraph"/>
              <w:ind w:left="369" w:right="369"/>
              <w:jc w:val="center"/>
              <w:rPr>
                <w:sz w:val="22"/>
              </w:rPr>
            </w:pPr>
            <w:r>
              <w:rPr>
                <w:w w:val="95"/>
                <w:sz w:val="22"/>
              </w:rPr>
              <w:t>AAD-1</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5"/>
              <w:rPr>
                <w:sz w:val="34"/>
              </w:rPr>
            </w:pPr>
          </w:p>
          <w:p>
            <w:pPr>
              <w:pStyle w:val="TableParagraph"/>
              <w:spacing w:line="254" w:lineRule="auto" w:before="1"/>
              <w:ind w:left="64"/>
              <w:rPr>
                <w:sz w:val="22"/>
              </w:rPr>
            </w:pPr>
            <w:r>
              <w:rPr>
                <w:sz w:val="22"/>
              </w:rPr>
              <w:t>AMC1 </w:t>
            </w:r>
            <w:r>
              <w:rPr>
                <w:w w:val="90"/>
                <w:sz w:val="22"/>
              </w:rPr>
              <w:t>CAO.A.100(b)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9"/>
              <w:jc w:val="both"/>
              <w:rPr>
                <w:sz w:val="22"/>
              </w:rPr>
            </w:pPr>
            <w:r>
              <w:rPr>
                <w:w w:val="105"/>
                <w:sz w:val="22"/>
              </w:rPr>
              <w:t>The independent audit should be an objective process</w:t>
            </w:r>
            <w:r>
              <w:rPr>
                <w:spacing w:val="-30"/>
                <w:w w:val="105"/>
                <w:sz w:val="22"/>
              </w:rPr>
              <w:t> </w:t>
            </w:r>
            <w:r>
              <w:rPr>
                <w:w w:val="105"/>
                <w:sz w:val="22"/>
              </w:rPr>
              <w:t>of</w:t>
            </w:r>
            <w:r>
              <w:rPr>
                <w:spacing w:val="-27"/>
                <w:w w:val="105"/>
                <w:sz w:val="22"/>
              </w:rPr>
              <w:t> </w:t>
            </w:r>
            <w:r>
              <w:rPr>
                <w:w w:val="105"/>
                <w:sz w:val="22"/>
              </w:rPr>
              <w:t>routine</w:t>
            </w:r>
            <w:r>
              <w:rPr>
                <w:spacing w:val="-29"/>
                <w:w w:val="105"/>
                <w:sz w:val="22"/>
              </w:rPr>
              <w:t> </w:t>
            </w:r>
            <w:r>
              <w:rPr>
                <w:w w:val="105"/>
                <w:sz w:val="22"/>
              </w:rPr>
              <w:t>sample</w:t>
            </w:r>
            <w:r>
              <w:rPr>
                <w:spacing w:val="-27"/>
                <w:w w:val="105"/>
                <w:sz w:val="22"/>
              </w:rPr>
              <w:t> </w:t>
            </w:r>
            <w:r>
              <w:rPr>
                <w:w w:val="105"/>
                <w:sz w:val="22"/>
              </w:rPr>
              <w:t>checks</w:t>
            </w:r>
            <w:r>
              <w:rPr>
                <w:spacing w:val="-30"/>
                <w:w w:val="105"/>
                <w:sz w:val="22"/>
              </w:rPr>
              <w:t> </w:t>
            </w:r>
            <w:r>
              <w:rPr>
                <w:w w:val="105"/>
                <w:sz w:val="22"/>
              </w:rPr>
              <w:t>of</w:t>
            </w:r>
            <w:r>
              <w:rPr>
                <w:spacing w:val="-29"/>
                <w:w w:val="105"/>
                <w:sz w:val="22"/>
              </w:rPr>
              <w:t> </w:t>
            </w:r>
            <w:r>
              <w:rPr>
                <w:w w:val="105"/>
                <w:sz w:val="22"/>
              </w:rPr>
              <w:t>all</w:t>
            </w:r>
            <w:r>
              <w:rPr>
                <w:spacing w:val="-29"/>
                <w:w w:val="105"/>
                <w:sz w:val="22"/>
              </w:rPr>
              <w:t> </w:t>
            </w:r>
            <w:r>
              <w:rPr>
                <w:w w:val="105"/>
                <w:sz w:val="22"/>
              </w:rPr>
              <w:t>aspects</w:t>
            </w:r>
            <w:r>
              <w:rPr>
                <w:spacing w:val="-30"/>
                <w:w w:val="105"/>
                <w:sz w:val="22"/>
              </w:rPr>
              <w:t> </w:t>
            </w:r>
            <w:r>
              <w:rPr>
                <w:w w:val="105"/>
                <w:sz w:val="22"/>
              </w:rPr>
              <w:t>of</w:t>
            </w:r>
            <w:r>
              <w:rPr>
                <w:spacing w:val="-28"/>
                <w:w w:val="105"/>
                <w:sz w:val="22"/>
              </w:rPr>
              <w:t> </w:t>
            </w:r>
            <w:r>
              <w:rPr>
                <w:w w:val="105"/>
                <w:sz w:val="22"/>
              </w:rPr>
              <w:t>the organisation’s ability to carry out continuing airworthiness management and/or maintenance to the standards required by Regulation . It should include</w:t>
            </w:r>
            <w:r>
              <w:rPr>
                <w:spacing w:val="-12"/>
                <w:w w:val="105"/>
                <w:sz w:val="22"/>
              </w:rPr>
              <w:t> </w:t>
            </w:r>
            <w:r>
              <w:rPr>
                <w:w w:val="105"/>
                <w:sz w:val="22"/>
              </w:rPr>
              <w:t>some</w:t>
            </w:r>
            <w:r>
              <w:rPr>
                <w:spacing w:val="-12"/>
                <w:w w:val="105"/>
                <w:sz w:val="22"/>
              </w:rPr>
              <w:t> </w:t>
            </w:r>
            <w:r>
              <w:rPr>
                <w:w w:val="105"/>
                <w:sz w:val="22"/>
              </w:rPr>
              <w:t>product</w:t>
            </w:r>
            <w:r>
              <w:rPr>
                <w:spacing w:val="-13"/>
                <w:w w:val="105"/>
                <w:sz w:val="22"/>
              </w:rPr>
              <w:t> </w:t>
            </w:r>
            <w:r>
              <w:rPr>
                <w:w w:val="105"/>
                <w:sz w:val="22"/>
              </w:rPr>
              <w:t>sampling</w:t>
            </w:r>
            <w:r>
              <w:rPr>
                <w:spacing w:val="-13"/>
                <w:w w:val="105"/>
                <w:sz w:val="22"/>
              </w:rPr>
              <w:t> </w:t>
            </w:r>
            <w:r>
              <w:rPr>
                <w:w w:val="105"/>
                <w:sz w:val="22"/>
              </w:rPr>
              <w:t>(e.g.</w:t>
            </w:r>
            <w:r>
              <w:rPr>
                <w:spacing w:val="-13"/>
                <w:w w:val="105"/>
                <w:sz w:val="22"/>
              </w:rPr>
              <w:t> </w:t>
            </w:r>
            <w:r>
              <w:rPr>
                <w:w w:val="105"/>
                <w:sz w:val="22"/>
              </w:rPr>
              <w:t>product</w:t>
            </w:r>
            <w:r>
              <w:rPr>
                <w:spacing w:val="-13"/>
                <w:w w:val="105"/>
                <w:sz w:val="22"/>
              </w:rPr>
              <w:t> </w:t>
            </w:r>
            <w:r>
              <w:rPr>
                <w:w w:val="105"/>
                <w:sz w:val="22"/>
              </w:rPr>
              <w:t>audit)</w:t>
            </w:r>
          </w:p>
          <w:p>
            <w:pPr>
              <w:pStyle w:val="TableParagraph"/>
              <w:spacing w:line="246" w:lineRule="exact"/>
              <w:ind w:left="64"/>
              <w:jc w:val="both"/>
              <w:rPr>
                <w:sz w:val="22"/>
              </w:rPr>
            </w:pPr>
            <w:r>
              <w:rPr>
                <w:w w:val="105"/>
                <w:sz w:val="22"/>
              </w:rPr>
              <w:t>as this is the end result of the process.</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spacing w:line="254" w:lineRule="auto" w:before="1"/>
              <w:ind w:left="69" w:right="65"/>
              <w:jc w:val="both"/>
              <w:rPr>
                <w:sz w:val="22"/>
              </w:rPr>
            </w:pPr>
            <w:r>
              <w:rPr>
                <w:color w:val="FFFFFF"/>
                <w:w w:val="105"/>
                <w:sz w:val="22"/>
              </w:rPr>
              <w:t>The independent audit should provide an objective overview of the complete set of continuingairworthiness-</w:t>
            </w:r>
          </w:p>
          <w:p>
            <w:pPr>
              <w:pStyle w:val="TableParagraph"/>
              <w:spacing w:before="1"/>
              <w:ind w:left="69"/>
              <w:jc w:val="both"/>
              <w:rPr>
                <w:sz w:val="22"/>
              </w:rPr>
            </w:pPr>
            <w:r>
              <w:rPr>
                <w:color w:val="FFFFFF"/>
                <w:w w:val="105"/>
                <w:sz w:val="22"/>
              </w:rPr>
              <w:t>management- and/or maintenance-related activities.</w:t>
            </w:r>
          </w:p>
        </w:tc>
      </w:tr>
      <w:tr>
        <w:trPr>
          <w:trHeight w:val="8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4"/>
              <w:rPr>
                <w:sz w:val="26"/>
              </w:rPr>
            </w:pPr>
          </w:p>
          <w:p>
            <w:pPr>
              <w:pStyle w:val="TableParagraph"/>
              <w:ind w:left="369" w:right="369"/>
              <w:jc w:val="center"/>
              <w:rPr>
                <w:sz w:val="22"/>
              </w:rPr>
            </w:pPr>
            <w:r>
              <w:rPr>
                <w:w w:val="95"/>
                <w:sz w:val="22"/>
              </w:rPr>
              <w:t>AAD-2</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69"/>
              <w:ind w:left="64"/>
              <w:rPr>
                <w:sz w:val="22"/>
              </w:rPr>
            </w:pPr>
            <w:r>
              <w:rPr>
                <w:sz w:val="22"/>
              </w:rPr>
              <w:t>AMC1 </w:t>
            </w:r>
            <w:r>
              <w:rPr>
                <w:w w:val="90"/>
                <w:sz w:val="22"/>
              </w:rPr>
              <w:t>CAO.A.100(b)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34"/>
              <w:ind w:left="64" w:right="60"/>
              <w:jc w:val="both"/>
              <w:rPr>
                <w:sz w:val="22"/>
              </w:rPr>
            </w:pPr>
            <w:r>
              <w:rPr>
                <w:w w:val="105"/>
                <w:sz w:val="22"/>
              </w:rPr>
              <w:t>The organisation should establish an audit plan to show</w:t>
            </w:r>
            <w:r>
              <w:rPr>
                <w:spacing w:val="-9"/>
                <w:w w:val="105"/>
                <w:sz w:val="22"/>
              </w:rPr>
              <w:t> </w:t>
            </w:r>
            <w:r>
              <w:rPr>
                <w:w w:val="105"/>
                <w:sz w:val="22"/>
              </w:rPr>
              <w:t>when</w:t>
            </w:r>
            <w:r>
              <w:rPr>
                <w:spacing w:val="-13"/>
                <w:w w:val="105"/>
                <w:sz w:val="22"/>
              </w:rPr>
              <w:t> </w:t>
            </w:r>
            <w:r>
              <w:rPr>
                <w:w w:val="105"/>
                <w:sz w:val="22"/>
              </w:rPr>
              <w:t>and</w:t>
            </w:r>
            <w:r>
              <w:rPr>
                <w:spacing w:val="-10"/>
                <w:w w:val="105"/>
                <w:sz w:val="22"/>
              </w:rPr>
              <w:t> </w:t>
            </w:r>
            <w:r>
              <w:rPr>
                <w:w w:val="105"/>
                <w:sz w:val="22"/>
              </w:rPr>
              <w:t>how</w:t>
            </w:r>
            <w:r>
              <w:rPr>
                <w:spacing w:val="-11"/>
                <w:w w:val="105"/>
                <w:sz w:val="22"/>
              </w:rPr>
              <w:t> </w:t>
            </w:r>
            <w:r>
              <w:rPr>
                <w:w w:val="105"/>
                <w:sz w:val="22"/>
              </w:rPr>
              <w:t>often</w:t>
            </w:r>
            <w:r>
              <w:rPr>
                <w:spacing w:val="-14"/>
                <w:w w:val="105"/>
                <w:sz w:val="22"/>
              </w:rPr>
              <w:t> </w:t>
            </w:r>
            <w:r>
              <w:rPr>
                <w:w w:val="105"/>
                <w:sz w:val="22"/>
              </w:rPr>
              <w:t>the</w:t>
            </w:r>
            <w:r>
              <w:rPr>
                <w:spacing w:val="-9"/>
                <w:w w:val="105"/>
                <w:sz w:val="22"/>
              </w:rPr>
              <w:t> </w:t>
            </w:r>
            <w:r>
              <w:rPr>
                <w:w w:val="105"/>
                <w:sz w:val="22"/>
              </w:rPr>
              <w:t>activities</w:t>
            </w:r>
            <w:r>
              <w:rPr>
                <w:spacing w:val="-12"/>
                <w:w w:val="105"/>
                <w:sz w:val="22"/>
              </w:rPr>
              <w:t> </w:t>
            </w:r>
            <w:r>
              <w:rPr>
                <w:w w:val="105"/>
                <w:sz w:val="22"/>
              </w:rPr>
              <w:t>as</w:t>
            </w:r>
            <w:r>
              <w:rPr>
                <w:spacing w:val="-12"/>
                <w:w w:val="105"/>
                <w:sz w:val="22"/>
              </w:rPr>
              <w:t> </w:t>
            </w:r>
            <w:r>
              <w:rPr>
                <w:w w:val="105"/>
                <w:sz w:val="22"/>
              </w:rPr>
              <w:t>required </w:t>
            </w:r>
            <w:r>
              <w:rPr>
                <w:sz w:val="22"/>
              </w:rPr>
              <w:t>by</w:t>
            </w:r>
            <w:r>
              <w:rPr>
                <w:spacing w:val="-15"/>
                <w:sz w:val="22"/>
              </w:rPr>
              <w:t> </w:t>
            </w:r>
            <w:r>
              <w:rPr>
                <w:sz w:val="22"/>
              </w:rPr>
              <w:t>Part-M,</w:t>
            </w:r>
            <w:r>
              <w:rPr>
                <w:spacing w:val="-17"/>
                <w:sz w:val="22"/>
              </w:rPr>
              <w:t> </w:t>
            </w:r>
            <w:r>
              <w:rPr>
                <w:sz w:val="22"/>
              </w:rPr>
              <w:t>Part-ML</w:t>
            </w:r>
            <w:r>
              <w:rPr>
                <w:spacing w:val="-17"/>
                <w:sz w:val="22"/>
              </w:rPr>
              <w:t> </w:t>
            </w:r>
            <w:r>
              <w:rPr>
                <w:sz w:val="22"/>
              </w:rPr>
              <w:t>and</w:t>
            </w:r>
            <w:r>
              <w:rPr>
                <w:spacing w:val="-18"/>
                <w:sz w:val="22"/>
              </w:rPr>
              <w:t> </w:t>
            </w:r>
            <w:r>
              <w:rPr>
                <w:sz w:val="22"/>
              </w:rPr>
              <w:t>Part-CAO</w:t>
            </w:r>
            <w:r>
              <w:rPr>
                <w:spacing w:val="-16"/>
                <w:sz w:val="22"/>
              </w:rPr>
              <w:t> </w:t>
            </w:r>
            <w:r>
              <w:rPr>
                <w:sz w:val="22"/>
              </w:rPr>
              <w:t>will</w:t>
            </w:r>
            <w:r>
              <w:rPr>
                <w:spacing w:val="-19"/>
                <w:sz w:val="22"/>
              </w:rPr>
              <w:t> </w:t>
            </w:r>
            <w:r>
              <w:rPr>
                <w:sz w:val="22"/>
              </w:rPr>
              <w:t>be</w:t>
            </w:r>
            <w:r>
              <w:rPr>
                <w:spacing w:val="-16"/>
                <w:sz w:val="22"/>
              </w:rPr>
              <w:t> </w:t>
            </w:r>
            <w:r>
              <w:rPr>
                <w:sz w:val="22"/>
              </w:rPr>
              <w:t>audited.</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42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
              <w:rPr>
                <w:sz w:val="31"/>
              </w:rPr>
            </w:pPr>
          </w:p>
          <w:p>
            <w:pPr>
              <w:pStyle w:val="TableParagraph"/>
              <w:ind w:left="369" w:right="369"/>
              <w:jc w:val="center"/>
              <w:rPr>
                <w:sz w:val="22"/>
              </w:rPr>
            </w:pPr>
            <w:r>
              <w:rPr>
                <w:w w:val="95"/>
                <w:sz w:val="22"/>
              </w:rPr>
              <w:t>AAD-3</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5"/>
              <w:rPr>
                <w:sz w:val="19"/>
              </w:rPr>
            </w:pPr>
          </w:p>
          <w:p>
            <w:pPr>
              <w:pStyle w:val="TableParagraph"/>
              <w:spacing w:line="254" w:lineRule="auto"/>
              <w:ind w:left="64"/>
              <w:rPr>
                <w:sz w:val="22"/>
              </w:rPr>
            </w:pPr>
            <w:r>
              <w:rPr>
                <w:sz w:val="22"/>
              </w:rPr>
              <w:t>AMC1 </w:t>
            </w:r>
            <w:r>
              <w:rPr>
                <w:w w:val="90"/>
                <w:sz w:val="22"/>
              </w:rPr>
              <w:t>CAO.A.100(b)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7"/>
              <w:jc w:val="both"/>
              <w:rPr>
                <w:sz w:val="22"/>
              </w:rPr>
            </w:pPr>
            <w:r>
              <w:rPr>
                <w:w w:val="105"/>
                <w:sz w:val="22"/>
              </w:rPr>
              <w:t>The</w:t>
            </w:r>
            <w:r>
              <w:rPr>
                <w:spacing w:val="-21"/>
                <w:w w:val="105"/>
                <w:sz w:val="22"/>
              </w:rPr>
              <w:t> </w:t>
            </w:r>
            <w:r>
              <w:rPr>
                <w:w w:val="105"/>
                <w:sz w:val="22"/>
              </w:rPr>
              <w:t>audit</w:t>
            </w:r>
            <w:r>
              <w:rPr>
                <w:spacing w:val="-22"/>
                <w:w w:val="105"/>
                <w:sz w:val="22"/>
              </w:rPr>
              <w:t> </w:t>
            </w:r>
            <w:r>
              <w:rPr>
                <w:w w:val="105"/>
                <w:sz w:val="22"/>
              </w:rPr>
              <w:t>plan</w:t>
            </w:r>
            <w:r>
              <w:rPr>
                <w:spacing w:val="-22"/>
                <w:w w:val="105"/>
                <w:sz w:val="22"/>
              </w:rPr>
              <w:t> </w:t>
            </w:r>
            <w:r>
              <w:rPr>
                <w:w w:val="105"/>
                <w:sz w:val="22"/>
              </w:rPr>
              <w:t>should</w:t>
            </w:r>
            <w:r>
              <w:rPr>
                <w:spacing w:val="-22"/>
                <w:w w:val="105"/>
                <w:sz w:val="22"/>
              </w:rPr>
              <w:t> </w:t>
            </w:r>
            <w:r>
              <w:rPr>
                <w:w w:val="105"/>
                <w:sz w:val="22"/>
              </w:rPr>
              <w:t>ensure</w:t>
            </w:r>
            <w:r>
              <w:rPr>
                <w:spacing w:val="-21"/>
                <w:w w:val="105"/>
                <w:sz w:val="22"/>
              </w:rPr>
              <w:t> </w:t>
            </w:r>
            <w:r>
              <w:rPr>
                <w:w w:val="105"/>
                <w:sz w:val="22"/>
              </w:rPr>
              <w:t>that</w:t>
            </w:r>
            <w:r>
              <w:rPr>
                <w:spacing w:val="-22"/>
                <w:w w:val="105"/>
                <w:sz w:val="22"/>
              </w:rPr>
              <w:t> </w:t>
            </w:r>
            <w:r>
              <w:rPr>
                <w:w w:val="105"/>
                <w:sz w:val="22"/>
              </w:rPr>
              <w:t>all</w:t>
            </w:r>
            <w:r>
              <w:rPr>
                <w:spacing w:val="-23"/>
                <w:w w:val="105"/>
                <w:sz w:val="22"/>
              </w:rPr>
              <w:t> </w:t>
            </w:r>
            <w:r>
              <w:rPr>
                <w:w w:val="105"/>
                <w:sz w:val="22"/>
              </w:rPr>
              <w:t>aspects</w:t>
            </w:r>
            <w:r>
              <w:rPr>
                <w:spacing w:val="-23"/>
                <w:w w:val="105"/>
                <w:sz w:val="22"/>
              </w:rPr>
              <w:t> </w:t>
            </w:r>
            <w:r>
              <w:rPr>
                <w:w w:val="105"/>
                <w:sz w:val="22"/>
              </w:rPr>
              <w:t>of</w:t>
            </w:r>
            <w:r>
              <w:rPr>
                <w:spacing w:val="-21"/>
                <w:w w:val="105"/>
                <w:sz w:val="22"/>
              </w:rPr>
              <w:t> </w:t>
            </w:r>
            <w:r>
              <w:rPr>
                <w:w w:val="105"/>
                <w:sz w:val="22"/>
              </w:rPr>
              <w:t>Part- </w:t>
            </w:r>
            <w:r>
              <w:rPr>
                <w:sz w:val="22"/>
              </w:rPr>
              <w:t>CAO</w:t>
            </w:r>
            <w:r>
              <w:rPr>
                <w:spacing w:val="-21"/>
                <w:sz w:val="22"/>
              </w:rPr>
              <w:t> </w:t>
            </w:r>
            <w:r>
              <w:rPr>
                <w:sz w:val="22"/>
              </w:rPr>
              <w:t>compliance</w:t>
            </w:r>
            <w:r>
              <w:rPr>
                <w:spacing w:val="-20"/>
                <w:sz w:val="22"/>
              </w:rPr>
              <w:t> </w:t>
            </w:r>
            <w:r>
              <w:rPr>
                <w:sz w:val="22"/>
              </w:rPr>
              <w:t>are</w:t>
            </w:r>
            <w:r>
              <w:rPr>
                <w:spacing w:val="-20"/>
                <w:sz w:val="22"/>
              </w:rPr>
              <w:t> </w:t>
            </w:r>
            <w:r>
              <w:rPr>
                <w:sz w:val="22"/>
              </w:rPr>
              <w:t>verified</w:t>
            </w:r>
            <w:r>
              <w:rPr>
                <w:spacing w:val="-20"/>
                <w:sz w:val="22"/>
              </w:rPr>
              <w:t> </w:t>
            </w:r>
            <w:r>
              <w:rPr>
                <w:sz w:val="22"/>
              </w:rPr>
              <w:t>every</w:t>
            </w:r>
            <w:r>
              <w:rPr>
                <w:spacing w:val="-20"/>
                <w:sz w:val="22"/>
              </w:rPr>
              <w:t> </w:t>
            </w:r>
            <w:r>
              <w:rPr>
                <w:sz w:val="22"/>
              </w:rPr>
              <w:t>year,</w:t>
            </w:r>
            <w:r>
              <w:rPr>
                <w:spacing w:val="-20"/>
                <w:sz w:val="22"/>
              </w:rPr>
              <w:t> </w:t>
            </w:r>
            <w:r>
              <w:rPr>
                <w:sz w:val="22"/>
              </w:rPr>
              <w:t>including</w:t>
            </w:r>
            <w:r>
              <w:rPr>
                <w:spacing w:val="-20"/>
                <w:sz w:val="22"/>
              </w:rPr>
              <w:t> </w:t>
            </w:r>
            <w:r>
              <w:rPr>
                <w:sz w:val="22"/>
              </w:rPr>
              <w:t>all </w:t>
            </w:r>
            <w:r>
              <w:rPr>
                <w:w w:val="105"/>
                <w:sz w:val="22"/>
              </w:rPr>
              <w:t>the subcontracted activities, and the auditing may be carried out as a complete single exercise or (sub)divided over the annual period. The independent audit should not require each procedure to be verified against each product line when it can be shown that the particular</w:t>
            </w:r>
            <w:r>
              <w:rPr>
                <w:spacing w:val="-20"/>
                <w:w w:val="105"/>
                <w:sz w:val="22"/>
              </w:rPr>
              <w:t> </w:t>
            </w:r>
            <w:r>
              <w:rPr>
                <w:w w:val="105"/>
                <w:sz w:val="22"/>
              </w:rPr>
              <w:t>procedure is common to more than one product line and the procedure has been verified every year without resultant findings. Where findings have been identified, the particular procedure should be verified</w:t>
            </w:r>
            <w:r>
              <w:rPr>
                <w:spacing w:val="-30"/>
                <w:w w:val="105"/>
                <w:sz w:val="22"/>
              </w:rPr>
              <w:t> </w:t>
            </w:r>
            <w:r>
              <w:rPr>
                <w:w w:val="105"/>
                <w:sz w:val="22"/>
              </w:rPr>
              <w:t>against</w:t>
            </w:r>
            <w:r>
              <w:rPr>
                <w:spacing w:val="-29"/>
                <w:w w:val="105"/>
                <w:sz w:val="22"/>
              </w:rPr>
              <w:t> </w:t>
            </w:r>
            <w:r>
              <w:rPr>
                <w:w w:val="105"/>
                <w:sz w:val="22"/>
              </w:rPr>
              <w:t>other</w:t>
            </w:r>
            <w:r>
              <w:rPr>
                <w:spacing w:val="-29"/>
                <w:w w:val="105"/>
                <w:sz w:val="22"/>
              </w:rPr>
              <w:t> </w:t>
            </w:r>
            <w:r>
              <w:rPr>
                <w:w w:val="105"/>
                <w:sz w:val="22"/>
              </w:rPr>
              <w:t>product</w:t>
            </w:r>
            <w:r>
              <w:rPr>
                <w:spacing w:val="-28"/>
                <w:w w:val="105"/>
                <w:sz w:val="22"/>
              </w:rPr>
              <w:t> </w:t>
            </w:r>
            <w:r>
              <w:rPr>
                <w:w w:val="105"/>
                <w:sz w:val="22"/>
              </w:rPr>
              <w:t>lines</w:t>
            </w:r>
            <w:r>
              <w:rPr>
                <w:spacing w:val="-29"/>
                <w:w w:val="105"/>
                <w:sz w:val="22"/>
              </w:rPr>
              <w:t> </w:t>
            </w:r>
            <w:r>
              <w:rPr>
                <w:w w:val="105"/>
                <w:sz w:val="22"/>
              </w:rPr>
              <w:t>until</w:t>
            </w:r>
            <w:r>
              <w:rPr>
                <w:spacing w:val="-31"/>
                <w:w w:val="105"/>
                <w:sz w:val="22"/>
              </w:rPr>
              <w:t> </w:t>
            </w:r>
            <w:r>
              <w:rPr>
                <w:w w:val="105"/>
                <w:sz w:val="22"/>
              </w:rPr>
              <w:t>the</w:t>
            </w:r>
            <w:r>
              <w:rPr>
                <w:spacing w:val="-29"/>
                <w:w w:val="105"/>
                <w:sz w:val="22"/>
              </w:rPr>
              <w:t> </w:t>
            </w:r>
            <w:r>
              <w:rPr>
                <w:w w:val="105"/>
                <w:sz w:val="22"/>
              </w:rPr>
              <w:t>findings have been rectified, after which the independent audit procedure may revert to a 1-year interval</w:t>
            </w:r>
            <w:r>
              <w:rPr>
                <w:spacing w:val="15"/>
                <w:w w:val="105"/>
                <w:sz w:val="22"/>
              </w:rPr>
              <w:t> </w:t>
            </w:r>
            <w:r>
              <w:rPr>
                <w:w w:val="105"/>
                <w:sz w:val="22"/>
              </w:rPr>
              <w:t>for</w:t>
            </w:r>
          </w:p>
          <w:p>
            <w:pPr>
              <w:pStyle w:val="TableParagraph"/>
              <w:spacing w:line="248" w:lineRule="exact" w:before="1"/>
              <w:ind w:left="64"/>
              <w:jc w:val="both"/>
              <w:rPr>
                <w:sz w:val="22"/>
              </w:rPr>
            </w:pPr>
            <w:r>
              <w:rPr>
                <w:w w:val="105"/>
                <w:sz w:val="22"/>
              </w:rPr>
              <w:t>the particular procedure.</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spacing w:line="254" w:lineRule="auto" w:before="1"/>
              <w:ind w:left="69" w:right="63"/>
              <w:jc w:val="both"/>
              <w:rPr>
                <w:sz w:val="22"/>
              </w:rPr>
            </w:pPr>
            <w:r>
              <w:rPr>
                <w:color w:val="FFFFFF"/>
                <w:w w:val="105"/>
                <w:sz w:val="22"/>
              </w:rPr>
              <w:t>Provided</w:t>
            </w:r>
            <w:r>
              <w:rPr>
                <w:color w:val="FFFFFF"/>
                <w:spacing w:val="-14"/>
                <w:w w:val="105"/>
                <w:sz w:val="22"/>
              </w:rPr>
              <w:t> </w:t>
            </w:r>
            <w:r>
              <w:rPr>
                <w:color w:val="FFFFFF"/>
                <w:w w:val="105"/>
                <w:sz w:val="22"/>
              </w:rPr>
              <w:t>that</w:t>
            </w:r>
            <w:r>
              <w:rPr>
                <w:color w:val="FFFFFF"/>
                <w:spacing w:val="-13"/>
                <w:w w:val="105"/>
                <w:sz w:val="22"/>
              </w:rPr>
              <w:t> </w:t>
            </w:r>
            <w:r>
              <w:rPr>
                <w:color w:val="FFFFFF"/>
                <w:w w:val="105"/>
                <w:sz w:val="22"/>
              </w:rPr>
              <w:t>there</w:t>
            </w:r>
            <w:r>
              <w:rPr>
                <w:color w:val="FFFFFF"/>
                <w:spacing w:val="-13"/>
                <w:w w:val="105"/>
                <w:sz w:val="22"/>
              </w:rPr>
              <w:t> </w:t>
            </w:r>
            <w:r>
              <w:rPr>
                <w:color w:val="FFFFFF"/>
                <w:w w:val="105"/>
                <w:sz w:val="22"/>
              </w:rPr>
              <w:t>are</w:t>
            </w:r>
            <w:r>
              <w:rPr>
                <w:color w:val="FFFFFF"/>
                <w:spacing w:val="-14"/>
                <w:w w:val="105"/>
                <w:sz w:val="22"/>
              </w:rPr>
              <w:t> </w:t>
            </w:r>
            <w:r>
              <w:rPr>
                <w:color w:val="FFFFFF"/>
                <w:w w:val="105"/>
                <w:sz w:val="22"/>
              </w:rPr>
              <w:t>no</w:t>
            </w:r>
            <w:r>
              <w:rPr>
                <w:color w:val="FFFFFF"/>
                <w:spacing w:val="-14"/>
                <w:w w:val="105"/>
                <w:sz w:val="22"/>
              </w:rPr>
              <w:t> </w:t>
            </w:r>
            <w:r>
              <w:rPr>
                <w:color w:val="FFFFFF"/>
                <w:w w:val="105"/>
                <w:sz w:val="22"/>
              </w:rPr>
              <w:t>safety-related</w:t>
            </w:r>
            <w:r>
              <w:rPr>
                <w:color w:val="FFFFFF"/>
                <w:spacing w:val="-14"/>
                <w:w w:val="105"/>
                <w:sz w:val="22"/>
              </w:rPr>
              <w:t> </w:t>
            </w:r>
            <w:r>
              <w:rPr>
                <w:color w:val="FFFFFF"/>
                <w:w w:val="105"/>
                <w:sz w:val="22"/>
              </w:rPr>
              <w:t>findings,</w:t>
            </w:r>
            <w:r>
              <w:rPr>
                <w:color w:val="FFFFFF"/>
                <w:spacing w:val="-13"/>
                <w:w w:val="105"/>
                <w:sz w:val="22"/>
              </w:rPr>
              <w:t> </w:t>
            </w:r>
            <w:r>
              <w:rPr>
                <w:color w:val="FFFFFF"/>
                <w:w w:val="105"/>
                <w:sz w:val="22"/>
              </w:rPr>
              <w:t>the audit  planning  cycle  specified  in  this  AMC   may be increased by up to 100 %, subject to agreement by the competent</w:t>
            </w:r>
            <w:r>
              <w:rPr>
                <w:color w:val="FFFFFF"/>
                <w:spacing w:val="-12"/>
                <w:w w:val="105"/>
                <w:sz w:val="22"/>
              </w:rPr>
              <w:t> </w:t>
            </w:r>
            <w:r>
              <w:rPr>
                <w:color w:val="FFFFFF"/>
                <w:w w:val="105"/>
                <w:sz w:val="22"/>
              </w:rPr>
              <w:t>authority.</w:t>
            </w:r>
          </w:p>
        </w:tc>
      </w:tr>
    </w:tbl>
    <w:p>
      <w:pPr>
        <w:spacing w:after="0" w:line="254" w:lineRule="auto"/>
        <w:jc w:val="both"/>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spacing w:before="11"/>
        <w:rPr>
          <w:sz w:val="15"/>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186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2"/>
              <w:rPr>
                <w:sz w:val="22"/>
              </w:rPr>
            </w:pPr>
          </w:p>
          <w:p>
            <w:pPr>
              <w:pStyle w:val="TableParagraph"/>
              <w:ind w:left="369" w:right="369"/>
              <w:jc w:val="center"/>
              <w:rPr>
                <w:sz w:val="22"/>
              </w:rPr>
            </w:pPr>
            <w:r>
              <w:rPr>
                <w:w w:val="95"/>
                <w:sz w:val="22"/>
              </w:rPr>
              <w:t>AAD-4</w:t>
            </w:r>
          </w:p>
        </w:tc>
        <w:tc>
          <w:tcPr>
            <w:tcW w:w="1843" w:type="dxa"/>
            <w:tcBorders>
              <w:left w:val="single" w:sz="4" w:space="0" w:color="3366FF"/>
              <w:bottom w:val="single" w:sz="4" w:space="0" w:color="3366FF"/>
              <w:right w:val="single" w:sz="4" w:space="0" w:color="3366FF"/>
            </w:tcBorders>
          </w:tcPr>
          <w:p>
            <w:pPr>
              <w:pStyle w:val="TableParagraph"/>
              <w:rPr>
                <w:sz w:val="24"/>
              </w:rPr>
            </w:pPr>
          </w:p>
          <w:p>
            <w:pPr>
              <w:pStyle w:val="TableParagraph"/>
              <w:spacing w:before="5"/>
              <w:rPr>
                <w:sz w:val="34"/>
              </w:rPr>
            </w:pPr>
          </w:p>
          <w:p>
            <w:pPr>
              <w:pStyle w:val="TableParagraph"/>
              <w:spacing w:line="254" w:lineRule="auto" w:before="1"/>
              <w:ind w:left="64"/>
              <w:rPr>
                <w:sz w:val="22"/>
              </w:rPr>
            </w:pPr>
            <w:r>
              <w:rPr>
                <w:sz w:val="22"/>
              </w:rPr>
              <w:t>AMC1 </w:t>
            </w:r>
            <w:r>
              <w:rPr>
                <w:w w:val="90"/>
                <w:sz w:val="22"/>
              </w:rPr>
              <w:t>CAO.A.100(b)</w:t>
            </w:r>
          </w:p>
        </w:tc>
        <w:tc>
          <w:tcPr>
            <w:tcW w:w="4800" w:type="dxa"/>
            <w:tcBorders>
              <w:left w:val="single" w:sz="4" w:space="0" w:color="3366FF"/>
              <w:bottom w:val="single" w:sz="4" w:space="0" w:color="3366FF"/>
              <w:right w:val="single" w:sz="4" w:space="0" w:color="3366FF"/>
            </w:tcBorders>
          </w:tcPr>
          <w:p>
            <w:pPr>
              <w:pStyle w:val="TableParagraph"/>
              <w:spacing w:line="254" w:lineRule="auto" w:before="1"/>
              <w:ind w:left="64" w:right="57"/>
              <w:jc w:val="both"/>
              <w:rPr>
                <w:sz w:val="22"/>
              </w:rPr>
            </w:pPr>
            <w:r>
              <w:rPr>
                <w:w w:val="105"/>
                <w:sz w:val="22"/>
              </w:rPr>
              <w:t>Where</w:t>
            </w:r>
            <w:r>
              <w:rPr>
                <w:spacing w:val="-4"/>
                <w:w w:val="105"/>
                <w:sz w:val="22"/>
              </w:rPr>
              <w:t> </w:t>
            </w:r>
            <w:r>
              <w:rPr>
                <w:w w:val="105"/>
                <w:sz w:val="22"/>
              </w:rPr>
              <w:t>the</w:t>
            </w:r>
            <w:r>
              <w:rPr>
                <w:spacing w:val="-7"/>
                <w:w w:val="105"/>
                <w:sz w:val="22"/>
              </w:rPr>
              <w:t> </w:t>
            </w:r>
            <w:r>
              <w:rPr>
                <w:w w:val="105"/>
                <w:sz w:val="22"/>
              </w:rPr>
              <w:t>organisation</w:t>
            </w:r>
            <w:r>
              <w:rPr>
                <w:spacing w:val="-7"/>
                <w:w w:val="105"/>
                <w:sz w:val="22"/>
              </w:rPr>
              <w:t> </w:t>
            </w:r>
            <w:r>
              <w:rPr>
                <w:w w:val="105"/>
                <w:sz w:val="22"/>
              </w:rPr>
              <w:t>has</w:t>
            </w:r>
            <w:r>
              <w:rPr>
                <w:spacing w:val="-7"/>
                <w:w w:val="105"/>
                <w:sz w:val="22"/>
              </w:rPr>
              <w:t> </w:t>
            </w:r>
            <w:r>
              <w:rPr>
                <w:w w:val="105"/>
                <w:sz w:val="22"/>
              </w:rPr>
              <w:t>more</w:t>
            </w:r>
            <w:r>
              <w:rPr>
                <w:spacing w:val="-9"/>
                <w:w w:val="105"/>
                <w:sz w:val="22"/>
              </w:rPr>
              <w:t> </w:t>
            </w:r>
            <w:r>
              <w:rPr>
                <w:w w:val="105"/>
                <w:sz w:val="22"/>
              </w:rPr>
              <w:t>than</w:t>
            </w:r>
            <w:r>
              <w:rPr>
                <w:spacing w:val="-8"/>
                <w:w w:val="105"/>
                <w:sz w:val="22"/>
              </w:rPr>
              <w:t> </w:t>
            </w:r>
            <w:r>
              <w:rPr>
                <w:w w:val="105"/>
                <w:sz w:val="22"/>
              </w:rPr>
              <w:t>one</w:t>
            </w:r>
            <w:r>
              <w:rPr>
                <w:spacing w:val="-7"/>
                <w:w w:val="105"/>
                <w:sz w:val="22"/>
              </w:rPr>
              <w:t> </w:t>
            </w:r>
            <w:r>
              <w:rPr>
                <w:w w:val="105"/>
                <w:sz w:val="22"/>
              </w:rPr>
              <w:t>location approved, the quality system should include a description of how these locations are integrated into the system, and include a plan to audit each location</w:t>
            </w:r>
            <w:r>
              <w:rPr>
                <w:spacing w:val="-16"/>
                <w:w w:val="105"/>
                <w:sz w:val="22"/>
              </w:rPr>
              <w:t> </w:t>
            </w:r>
            <w:r>
              <w:rPr>
                <w:w w:val="105"/>
                <w:sz w:val="22"/>
              </w:rPr>
              <w:t>at</w:t>
            </w:r>
            <w:r>
              <w:rPr>
                <w:spacing w:val="-17"/>
                <w:w w:val="105"/>
                <w:sz w:val="22"/>
              </w:rPr>
              <w:t> </w:t>
            </w:r>
            <w:r>
              <w:rPr>
                <w:w w:val="105"/>
                <w:sz w:val="22"/>
              </w:rPr>
              <w:t>a</w:t>
            </w:r>
            <w:r>
              <w:rPr>
                <w:spacing w:val="-15"/>
                <w:w w:val="105"/>
                <w:sz w:val="22"/>
              </w:rPr>
              <w:t> </w:t>
            </w:r>
            <w:r>
              <w:rPr>
                <w:w w:val="105"/>
                <w:sz w:val="22"/>
              </w:rPr>
              <w:t>frequency</w:t>
            </w:r>
            <w:r>
              <w:rPr>
                <w:spacing w:val="-17"/>
                <w:w w:val="105"/>
                <w:sz w:val="22"/>
              </w:rPr>
              <w:t> </w:t>
            </w:r>
            <w:r>
              <w:rPr>
                <w:w w:val="105"/>
                <w:sz w:val="22"/>
              </w:rPr>
              <w:t>consistent</w:t>
            </w:r>
            <w:r>
              <w:rPr>
                <w:spacing w:val="-16"/>
                <w:w w:val="105"/>
                <w:sz w:val="22"/>
              </w:rPr>
              <w:t> </w:t>
            </w:r>
            <w:r>
              <w:rPr>
                <w:w w:val="105"/>
                <w:sz w:val="22"/>
              </w:rPr>
              <w:t>with</w:t>
            </w:r>
            <w:r>
              <w:rPr>
                <w:spacing w:val="-16"/>
                <w:w w:val="105"/>
                <w:sz w:val="22"/>
              </w:rPr>
              <w:t> </w:t>
            </w:r>
            <w:r>
              <w:rPr>
                <w:w w:val="105"/>
                <w:sz w:val="22"/>
              </w:rPr>
              <w:t>the</w:t>
            </w:r>
            <w:r>
              <w:rPr>
                <w:spacing w:val="-15"/>
                <w:w w:val="105"/>
                <w:sz w:val="22"/>
              </w:rPr>
              <w:t> </w:t>
            </w:r>
            <w:r>
              <w:rPr>
                <w:w w:val="105"/>
                <w:sz w:val="22"/>
              </w:rPr>
              <w:t>extent</w:t>
            </w:r>
            <w:r>
              <w:rPr>
                <w:spacing w:val="-17"/>
                <w:w w:val="105"/>
                <w:sz w:val="22"/>
              </w:rPr>
              <w:t> </w:t>
            </w:r>
            <w:r>
              <w:rPr>
                <w:w w:val="105"/>
                <w:sz w:val="22"/>
              </w:rPr>
              <w:t>of activity </w:t>
            </w:r>
            <w:r>
              <w:rPr>
                <w:spacing w:val="-3"/>
                <w:w w:val="105"/>
                <w:sz w:val="22"/>
              </w:rPr>
              <w:t>at </w:t>
            </w:r>
            <w:r>
              <w:rPr>
                <w:w w:val="105"/>
                <w:sz w:val="22"/>
              </w:rPr>
              <w:t>the particular location, </w:t>
            </w:r>
            <w:r>
              <w:rPr>
                <w:spacing w:val="18"/>
                <w:w w:val="105"/>
                <w:sz w:val="22"/>
              </w:rPr>
              <w:t> </w:t>
            </w:r>
            <w:r>
              <w:rPr>
                <w:w w:val="105"/>
                <w:sz w:val="22"/>
              </w:rPr>
              <w:t>not exceeding 2</w:t>
            </w:r>
          </w:p>
          <w:p>
            <w:pPr>
              <w:pStyle w:val="TableParagraph"/>
              <w:spacing w:line="245" w:lineRule="exact" w:before="1"/>
              <w:ind w:left="64"/>
              <w:jc w:val="both"/>
              <w:rPr>
                <w:sz w:val="22"/>
              </w:rPr>
            </w:pPr>
            <w:r>
              <w:rPr>
                <w:w w:val="105"/>
                <w:sz w:val="22"/>
              </w:rPr>
              <w:t>years.</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r>
        <w:trPr>
          <w:trHeight w:val="17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185"/>
              <w:ind w:left="369" w:right="369"/>
              <w:jc w:val="center"/>
              <w:rPr>
                <w:sz w:val="22"/>
              </w:rPr>
            </w:pPr>
            <w:r>
              <w:rPr>
                <w:w w:val="95"/>
                <w:sz w:val="22"/>
              </w:rPr>
              <w:t>AAD-5</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5"/>
              <w:rPr>
                <w:sz w:val="28"/>
              </w:rPr>
            </w:pPr>
          </w:p>
          <w:p>
            <w:pPr>
              <w:pStyle w:val="TableParagraph"/>
              <w:spacing w:line="254" w:lineRule="auto"/>
              <w:ind w:left="64"/>
              <w:rPr>
                <w:sz w:val="22"/>
              </w:rPr>
            </w:pPr>
            <w:r>
              <w:rPr>
                <w:sz w:val="22"/>
              </w:rPr>
              <w:t>AMC1 </w:t>
            </w:r>
            <w:r>
              <w:rPr>
                <w:w w:val="90"/>
                <w:sz w:val="22"/>
              </w:rPr>
              <w:t>CAO.A.100(b)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rPr>
                <w:sz w:val="29"/>
              </w:rPr>
            </w:pPr>
          </w:p>
          <w:p>
            <w:pPr>
              <w:pStyle w:val="TableParagraph"/>
              <w:spacing w:line="254" w:lineRule="auto" w:before="1"/>
              <w:ind w:left="64" w:right="58"/>
              <w:jc w:val="both"/>
              <w:rPr>
                <w:sz w:val="22"/>
              </w:rPr>
            </w:pPr>
            <w:r>
              <w:rPr>
                <w:sz w:val="22"/>
              </w:rPr>
              <w:t>A report should be issued each time an audit is carried out describing what was checked and the resulting non-compliance findings against applicable requirements  and  procedures.</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spacing w:line="252" w:lineRule="auto" w:before="3"/>
              <w:ind w:left="69"/>
              <w:rPr>
                <w:sz w:val="22"/>
              </w:rPr>
            </w:pPr>
            <w:r>
              <w:rPr>
                <w:color w:val="FFFFFF"/>
                <w:w w:val="90"/>
                <w:sz w:val="22"/>
              </w:rPr>
              <w:t>THE USE OF INFORMATION AND COMMUNICATION TECHNOLOGIES  (ICT)  FOR  PERFORMING REMOTE</w:t>
            </w:r>
          </w:p>
          <w:p>
            <w:pPr>
              <w:pStyle w:val="TableParagraph"/>
              <w:tabs>
                <w:tab w:pos="964" w:val="left" w:leader="none"/>
                <w:tab w:pos="1796" w:val="left" w:leader="none"/>
                <w:tab w:pos="2933" w:val="left" w:leader="none"/>
                <w:tab w:pos="3348" w:val="left" w:leader="none"/>
                <w:tab w:pos="4074" w:val="left" w:leader="none"/>
                <w:tab w:pos="4464" w:val="left" w:leader="none"/>
              </w:tabs>
              <w:spacing w:line="254" w:lineRule="auto" w:before="3"/>
              <w:ind w:left="69" w:right="67"/>
              <w:rPr>
                <w:sz w:val="22"/>
              </w:rPr>
            </w:pPr>
            <w:r>
              <w:rPr>
                <w:color w:val="FFFFFF"/>
                <w:w w:val="90"/>
                <w:sz w:val="22"/>
              </w:rPr>
              <w:t>AUDITS</w:t>
              <w:tab/>
            </w:r>
            <w:r>
              <w:rPr>
                <w:color w:val="FFFFFF"/>
                <w:sz w:val="22"/>
              </w:rPr>
              <w:t>Similar</w:t>
              <w:tab/>
              <w:t>provisions</w:t>
              <w:tab/>
              <w:t>to</w:t>
              <w:tab/>
              <w:t>those</w:t>
              <w:tab/>
              <w:t>in</w:t>
              <w:tab/>
            </w:r>
            <w:r>
              <w:rPr>
                <w:color w:val="FFFFFF"/>
                <w:spacing w:val="-2"/>
                <w:w w:val="95"/>
                <w:sz w:val="22"/>
              </w:rPr>
              <w:t>GM1 </w:t>
            </w:r>
            <w:r>
              <w:rPr>
                <w:color w:val="FFFFFF"/>
                <w:sz w:val="22"/>
              </w:rPr>
              <w:t>145.A.200(a)(6)</w:t>
            </w:r>
            <w:r>
              <w:rPr>
                <w:color w:val="FFFFFF"/>
                <w:spacing w:val="-22"/>
                <w:sz w:val="22"/>
              </w:rPr>
              <w:t> </w:t>
            </w:r>
            <w:r>
              <w:rPr>
                <w:color w:val="FFFFFF"/>
                <w:sz w:val="22"/>
              </w:rPr>
              <w:t>and</w:t>
            </w:r>
            <w:r>
              <w:rPr>
                <w:color w:val="FFFFFF"/>
                <w:spacing w:val="-21"/>
                <w:sz w:val="22"/>
              </w:rPr>
              <w:t> </w:t>
            </w:r>
            <w:r>
              <w:rPr>
                <w:color w:val="FFFFFF"/>
                <w:sz w:val="22"/>
              </w:rPr>
              <w:t>145.B.300</w:t>
            </w:r>
            <w:r>
              <w:rPr>
                <w:color w:val="FFFFFF"/>
                <w:spacing w:val="-20"/>
                <w:sz w:val="22"/>
              </w:rPr>
              <w:t> </w:t>
            </w:r>
            <w:r>
              <w:rPr>
                <w:color w:val="FFFFFF"/>
                <w:sz w:val="22"/>
              </w:rPr>
              <w:t>apply.</w:t>
            </w:r>
          </w:p>
        </w:tc>
      </w:tr>
      <w:tr>
        <w:trPr>
          <w:trHeight w:val="56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57"/>
              <w:ind w:left="369" w:right="370"/>
              <w:jc w:val="center"/>
              <w:rPr>
                <w:sz w:val="22"/>
              </w:rPr>
            </w:pPr>
            <w:r>
              <w:rPr>
                <w:sz w:val="22"/>
              </w:rPr>
              <w:t>35</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spacing w:before="157"/>
              <w:ind w:left="64"/>
              <w:rPr>
                <w:sz w:val="22"/>
              </w:rPr>
            </w:pPr>
            <w:r>
              <w:rPr>
                <w:w w:val="90"/>
                <w:sz w:val="22"/>
              </w:rPr>
              <w:t>CAO.A.100 (c)</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tabs>
                <w:tab w:pos="832" w:val="left" w:leader="none"/>
                <w:tab w:pos="1605" w:val="left" w:leader="none"/>
                <w:tab w:pos="2137" w:val="left" w:leader="none"/>
                <w:tab w:pos="2465" w:val="left" w:leader="none"/>
                <w:tab w:pos="2992" w:val="left" w:leader="none"/>
                <w:tab w:pos="3437" w:val="left" w:leader="none"/>
                <w:tab w:pos="4144" w:val="left" w:leader="none"/>
              </w:tabs>
              <w:spacing w:line="270" w:lineRule="atLeast" w:before="5"/>
              <w:ind w:left="64" w:right="59"/>
              <w:rPr>
                <w:sz w:val="22"/>
              </w:rPr>
            </w:pPr>
            <w:r>
              <w:rPr>
                <w:sz w:val="22"/>
              </w:rPr>
              <w:t>Asgari</w:t>
              <w:tab/>
              <w:t>olarak</w:t>
              <w:tab/>
              <w:t>son</w:t>
              <w:tab/>
              <w:t>2</w:t>
              <w:tab/>
              <w:t>yıla</w:t>
              <w:tab/>
              <w:t>ait</w:t>
              <w:tab/>
              <w:t>kalite</w:t>
              <w:tab/>
            </w:r>
            <w:r>
              <w:rPr>
                <w:w w:val="95"/>
                <w:sz w:val="22"/>
              </w:rPr>
              <w:t>izleme </w:t>
            </w:r>
            <w:r>
              <w:rPr>
                <w:sz w:val="22"/>
              </w:rPr>
              <w:t>faaliyetlerinin</w:t>
            </w:r>
            <w:r>
              <w:rPr>
                <w:spacing w:val="-27"/>
                <w:sz w:val="22"/>
              </w:rPr>
              <w:t> </w:t>
            </w:r>
            <w:r>
              <w:rPr>
                <w:sz w:val="22"/>
              </w:rPr>
              <w:t>kayıtları</w:t>
            </w:r>
            <w:r>
              <w:rPr>
                <w:spacing w:val="-27"/>
                <w:sz w:val="22"/>
              </w:rPr>
              <w:t> </w:t>
            </w:r>
            <w:r>
              <w:rPr>
                <w:sz w:val="22"/>
              </w:rPr>
              <w:t>saklanır.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34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
              <w:rPr>
                <w:sz w:val="19"/>
              </w:rPr>
            </w:pPr>
          </w:p>
          <w:p>
            <w:pPr>
              <w:pStyle w:val="TableParagraph"/>
              <w:ind w:left="369" w:right="370"/>
              <w:jc w:val="center"/>
              <w:rPr>
                <w:sz w:val="22"/>
              </w:rPr>
            </w:pPr>
            <w:r>
              <w:rPr>
                <w:sz w:val="22"/>
              </w:rPr>
              <w:t>36</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
              <w:rPr>
                <w:sz w:val="19"/>
              </w:rPr>
            </w:pPr>
          </w:p>
          <w:p>
            <w:pPr>
              <w:pStyle w:val="TableParagraph"/>
              <w:ind w:left="64"/>
              <w:rPr>
                <w:sz w:val="22"/>
              </w:rPr>
            </w:pPr>
            <w:r>
              <w:rPr>
                <w:w w:val="90"/>
                <w:sz w:val="22"/>
              </w:rPr>
              <w:t>CAO.A.100 (f)</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5"/>
              <w:rPr>
                <w:sz w:val="33"/>
              </w:rPr>
            </w:pPr>
          </w:p>
          <w:p>
            <w:pPr>
              <w:pStyle w:val="TableParagraph"/>
              <w:spacing w:line="254" w:lineRule="auto"/>
              <w:ind w:left="64" w:right="59"/>
              <w:jc w:val="both"/>
              <w:rPr>
                <w:sz w:val="22"/>
              </w:rPr>
            </w:pPr>
            <w:r>
              <w:rPr>
                <w:sz w:val="22"/>
              </w:rPr>
              <w:t>CAO'nun küçük CAO olarak değerlendirilmesi durumunda, Genel Müdürlüğün onaylaması şartıyla kalite sistemi yerine düzenli organizasyonel gözden geçirme uygulayabilir. Bu durumda CAO, sürekli uçuşa elverişlilik görevlerini başka kuruluşlara sözleşmeli olarak devredemez.</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spacing w:line="254" w:lineRule="auto" w:before="3"/>
              <w:ind w:left="69" w:right="66"/>
              <w:jc w:val="both"/>
              <w:rPr>
                <w:sz w:val="22"/>
              </w:rPr>
            </w:pPr>
            <w:r>
              <w:rPr>
                <w:color w:val="FFFFFF"/>
                <w:w w:val="105"/>
                <w:sz w:val="22"/>
              </w:rPr>
              <w:t>An organisation that holds both maintenance and continuing airworthiness management privileges can  </w:t>
            </w:r>
            <w:r>
              <w:rPr>
                <w:color w:val="FFFFFF"/>
                <w:spacing w:val="12"/>
                <w:w w:val="105"/>
                <w:sz w:val="22"/>
              </w:rPr>
              <w:t> </w:t>
            </w:r>
            <w:r>
              <w:rPr>
                <w:color w:val="FFFFFF"/>
                <w:w w:val="105"/>
                <w:sz w:val="22"/>
              </w:rPr>
              <w:t>be  </w:t>
            </w:r>
            <w:r>
              <w:rPr>
                <w:color w:val="FFFFFF"/>
                <w:spacing w:val="11"/>
                <w:w w:val="105"/>
                <w:sz w:val="22"/>
              </w:rPr>
              <w:t> </w:t>
            </w:r>
            <w:r>
              <w:rPr>
                <w:color w:val="FFFFFF"/>
                <w:w w:val="105"/>
                <w:sz w:val="22"/>
              </w:rPr>
              <w:t>considered  </w:t>
            </w:r>
            <w:r>
              <w:rPr>
                <w:color w:val="FFFFFF"/>
                <w:spacing w:val="10"/>
                <w:w w:val="105"/>
                <w:sz w:val="22"/>
              </w:rPr>
              <w:t> </w:t>
            </w:r>
            <w:r>
              <w:rPr>
                <w:color w:val="FFFFFF"/>
                <w:w w:val="105"/>
                <w:sz w:val="22"/>
              </w:rPr>
              <w:t>to  </w:t>
            </w:r>
            <w:r>
              <w:rPr>
                <w:color w:val="FFFFFF"/>
                <w:spacing w:val="10"/>
                <w:w w:val="105"/>
                <w:sz w:val="22"/>
              </w:rPr>
              <w:t> </w:t>
            </w:r>
            <w:r>
              <w:rPr>
                <w:color w:val="FFFFFF"/>
                <w:w w:val="105"/>
                <w:sz w:val="22"/>
              </w:rPr>
              <w:t>be  </w:t>
            </w:r>
            <w:r>
              <w:rPr>
                <w:color w:val="FFFFFF"/>
                <w:spacing w:val="13"/>
                <w:w w:val="105"/>
                <w:sz w:val="22"/>
              </w:rPr>
              <w:t> </w:t>
            </w:r>
            <w:r>
              <w:rPr>
                <w:color w:val="FFFFFF"/>
                <w:w w:val="105"/>
                <w:sz w:val="22"/>
              </w:rPr>
              <w:t>at  </w:t>
            </w:r>
            <w:r>
              <w:rPr>
                <w:color w:val="FFFFFF"/>
                <w:spacing w:val="10"/>
                <w:w w:val="105"/>
                <w:sz w:val="22"/>
              </w:rPr>
              <w:t> </w:t>
            </w:r>
            <w:r>
              <w:rPr>
                <w:color w:val="FFFFFF"/>
                <w:w w:val="105"/>
                <w:sz w:val="22"/>
              </w:rPr>
              <w:t>the  </w:t>
            </w:r>
            <w:r>
              <w:rPr>
                <w:color w:val="FFFFFF"/>
                <w:spacing w:val="10"/>
                <w:w w:val="105"/>
                <w:sz w:val="22"/>
              </w:rPr>
              <w:t> </w:t>
            </w:r>
            <w:r>
              <w:rPr>
                <w:color w:val="FFFFFF"/>
                <w:w w:val="105"/>
                <w:sz w:val="22"/>
              </w:rPr>
              <w:t>same  </w:t>
            </w:r>
            <w:r>
              <w:rPr>
                <w:color w:val="FFFFFF"/>
                <w:spacing w:val="10"/>
                <w:w w:val="105"/>
                <w:sz w:val="22"/>
              </w:rPr>
              <w:t> </w:t>
            </w:r>
            <w:r>
              <w:rPr>
                <w:color w:val="FFFFFF"/>
                <w:w w:val="105"/>
                <w:sz w:val="22"/>
              </w:rPr>
              <w:t>time:</w:t>
            </w:r>
          </w:p>
          <w:p>
            <w:pPr>
              <w:pStyle w:val="TableParagraph"/>
              <w:numPr>
                <w:ilvl w:val="0"/>
                <w:numId w:val="6"/>
              </w:numPr>
              <w:tabs>
                <w:tab w:pos="467" w:val="left" w:leader="none"/>
              </w:tabs>
              <w:spacing w:line="240" w:lineRule="auto" w:before="1" w:after="0"/>
              <w:ind w:left="69" w:right="0" w:firstLine="0"/>
              <w:jc w:val="both"/>
              <w:rPr>
                <w:sz w:val="22"/>
              </w:rPr>
            </w:pPr>
            <w:r>
              <w:rPr>
                <w:color w:val="FFFFFF"/>
                <w:sz w:val="22"/>
              </w:rPr>
              <w:t>a     small     CAO     for     one     privilege;    </w:t>
            </w:r>
            <w:r>
              <w:rPr>
                <w:color w:val="FFFFFF"/>
                <w:spacing w:val="5"/>
                <w:sz w:val="22"/>
              </w:rPr>
              <w:t> </w:t>
            </w:r>
            <w:r>
              <w:rPr>
                <w:color w:val="FFFFFF"/>
                <w:sz w:val="22"/>
              </w:rPr>
              <w:t>and</w:t>
            </w:r>
          </w:p>
          <w:p>
            <w:pPr>
              <w:pStyle w:val="TableParagraph"/>
              <w:numPr>
                <w:ilvl w:val="0"/>
                <w:numId w:val="6"/>
              </w:numPr>
              <w:tabs>
                <w:tab w:pos="379" w:val="left" w:leader="none"/>
              </w:tabs>
              <w:spacing w:line="254" w:lineRule="auto" w:before="16" w:after="0"/>
              <w:ind w:left="69" w:right="65" w:firstLine="0"/>
              <w:jc w:val="both"/>
              <w:rPr>
                <w:sz w:val="22"/>
              </w:rPr>
            </w:pPr>
            <w:r>
              <w:rPr>
                <w:color w:val="FFFFFF"/>
                <w:w w:val="105"/>
                <w:sz w:val="22"/>
              </w:rPr>
              <w:t>not  a  small   CAO   for   the   other   privilege. In</w:t>
            </w:r>
            <w:r>
              <w:rPr>
                <w:color w:val="FFFFFF"/>
                <w:spacing w:val="-10"/>
                <w:w w:val="105"/>
                <w:sz w:val="22"/>
              </w:rPr>
              <w:t> </w:t>
            </w:r>
            <w:r>
              <w:rPr>
                <w:color w:val="FFFFFF"/>
                <w:w w:val="105"/>
                <w:sz w:val="22"/>
              </w:rPr>
              <w:t>these</w:t>
            </w:r>
            <w:r>
              <w:rPr>
                <w:color w:val="FFFFFF"/>
                <w:spacing w:val="-11"/>
                <w:w w:val="105"/>
                <w:sz w:val="22"/>
              </w:rPr>
              <w:t> </w:t>
            </w:r>
            <w:r>
              <w:rPr>
                <w:color w:val="FFFFFF"/>
                <w:w w:val="105"/>
                <w:sz w:val="22"/>
              </w:rPr>
              <w:t>situations,</w:t>
            </w:r>
            <w:r>
              <w:rPr>
                <w:color w:val="FFFFFF"/>
                <w:spacing w:val="-11"/>
                <w:w w:val="105"/>
                <w:sz w:val="22"/>
              </w:rPr>
              <w:t> </w:t>
            </w:r>
            <w:r>
              <w:rPr>
                <w:color w:val="FFFFFF"/>
                <w:w w:val="105"/>
                <w:sz w:val="22"/>
              </w:rPr>
              <w:t>the</w:t>
            </w:r>
            <w:r>
              <w:rPr>
                <w:color w:val="FFFFFF"/>
                <w:spacing w:val="-11"/>
                <w:w w:val="105"/>
                <w:sz w:val="22"/>
              </w:rPr>
              <w:t> </w:t>
            </w:r>
            <w:r>
              <w:rPr>
                <w:color w:val="FFFFFF"/>
                <w:w w:val="105"/>
                <w:sz w:val="22"/>
              </w:rPr>
              <w:t>organisation</w:t>
            </w:r>
            <w:r>
              <w:rPr>
                <w:color w:val="FFFFFF"/>
                <w:spacing w:val="-9"/>
                <w:w w:val="105"/>
                <w:sz w:val="22"/>
              </w:rPr>
              <w:t> </w:t>
            </w:r>
            <w:r>
              <w:rPr>
                <w:color w:val="FFFFFF"/>
                <w:w w:val="105"/>
                <w:sz w:val="22"/>
              </w:rPr>
              <w:t>is</w:t>
            </w:r>
            <w:r>
              <w:rPr>
                <w:color w:val="FFFFFF"/>
                <w:spacing w:val="-9"/>
                <w:w w:val="105"/>
                <w:sz w:val="22"/>
              </w:rPr>
              <w:t> </w:t>
            </w:r>
            <w:r>
              <w:rPr>
                <w:color w:val="FFFFFF"/>
                <w:w w:val="105"/>
                <w:sz w:val="22"/>
              </w:rPr>
              <w:t>not</w:t>
            </w:r>
            <w:r>
              <w:rPr>
                <w:color w:val="FFFFFF"/>
                <w:spacing w:val="-10"/>
                <w:w w:val="105"/>
                <w:sz w:val="22"/>
              </w:rPr>
              <w:t> </w:t>
            </w:r>
            <w:r>
              <w:rPr>
                <w:color w:val="FFFFFF"/>
                <w:w w:val="105"/>
                <w:sz w:val="22"/>
              </w:rPr>
              <w:t>considered to</w:t>
            </w:r>
            <w:r>
              <w:rPr>
                <w:color w:val="FFFFFF"/>
                <w:spacing w:val="-28"/>
                <w:w w:val="105"/>
                <w:sz w:val="22"/>
              </w:rPr>
              <w:t> </w:t>
            </w:r>
            <w:r>
              <w:rPr>
                <w:color w:val="FFFFFF"/>
                <w:w w:val="105"/>
                <w:sz w:val="22"/>
              </w:rPr>
              <w:t>be</w:t>
            </w:r>
            <w:r>
              <w:rPr>
                <w:color w:val="FFFFFF"/>
                <w:spacing w:val="-28"/>
                <w:w w:val="105"/>
                <w:sz w:val="22"/>
              </w:rPr>
              <w:t> </w:t>
            </w:r>
            <w:r>
              <w:rPr>
                <w:color w:val="FFFFFF"/>
                <w:w w:val="105"/>
                <w:sz w:val="22"/>
              </w:rPr>
              <w:t>a</w:t>
            </w:r>
            <w:r>
              <w:rPr>
                <w:color w:val="FFFFFF"/>
                <w:spacing w:val="-28"/>
                <w:w w:val="105"/>
                <w:sz w:val="22"/>
              </w:rPr>
              <w:t> </w:t>
            </w:r>
            <w:r>
              <w:rPr>
                <w:color w:val="FFFFFF"/>
                <w:w w:val="105"/>
                <w:sz w:val="22"/>
              </w:rPr>
              <w:t>small</w:t>
            </w:r>
            <w:r>
              <w:rPr>
                <w:color w:val="FFFFFF"/>
                <w:spacing w:val="-29"/>
                <w:w w:val="105"/>
                <w:sz w:val="22"/>
              </w:rPr>
              <w:t> </w:t>
            </w:r>
            <w:r>
              <w:rPr>
                <w:color w:val="FFFFFF"/>
                <w:w w:val="105"/>
                <w:sz w:val="22"/>
              </w:rPr>
              <w:t>CAO</w:t>
            </w:r>
            <w:r>
              <w:rPr>
                <w:color w:val="FFFFFF"/>
                <w:spacing w:val="-26"/>
                <w:w w:val="105"/>
                <w:sz w:val="22"/>
              </w:rPr>
              <w:t> </w:t>
            </w:r>
            <w:r>
              <w:rPr>
                <w:color w:val="FFFFFF"/>
                <w:w w:val="105"/>
                <w:sz w:val="22"/>
              </w:rPr>
              <w:t>as</w:t>
            </w:r>
            <w:r>
              <w:rPr>
                <w:color w:val="FFFFFF"/>
                <w:spacing w:val="-28"/>
                <w:w w:val="105"/>
                <w:sz w:val="22"/>
              </w:rPr>
              <w:t> </w:t>
            </w:r>
            <w:r>
              <w:rPr>
                <w:color w:val="FFFFFF"/>
                <w:w w:val="105"/>
                <w:sz w:val="22"/>
              </w:rPr>
              <w:t>a</w:t>
            </w:r>
            <w:r>
              <w:rPr>
                <w:color w:val="FFFFFF"/>
                <w:spacing w:val="-28"/>
                <w:w w:val="105"/>
                <w:sz w:val="22"/>
              </w:rPr>
              <w:t> </w:t>
            </w:r>
            <w:r>
              <w:rPr>
                <w:color w:val="FFFFFF"/>
                <w:w w:val="105"/>
                <w:sz w:val="22"/>
              </w:rPr>
              <w:t>whole.</w:t>
            </w:r>
          </w:p>
        </w:tc>
      </w:tr>
    </w:tbl>
    <w:p>
      <w:pPr>
        <w:spacing w:after="0" w:line="254" w:lineRule="auto"/>
        <w:jc w:val="both"/>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5"/>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160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spacing w:before="5"/>
              <w:rPr>
                <w:sz w:val="34"/>
              </w:rPr>
            </w:pPr>
          </w:p>
          <w:p>
            <w:pPr>
              <w:pStyle w:val="TableParagraph"/>
              <w:spacing w:before="1"/>
              <w:ind w:left="369" w:right="369"/>
              <w:jc w:val="center"/>
              <w:rPr>
                <w:sz w:val="22"/>
              </w:rPr>
            </w:pPr>
            <w:r>
              <w:rPr>
                <w:w w:val="95"/>
                <w:sz w:val="22"/>
              </w:rPr>
              <w:t>AAD-1</w:t>
            </w:r>
          </w:p>
        </w:tc>
        <w:tc>
          <w:tcPr>
            <w:tcW w:w="1843" w:type="dxa"/>
            <w:tcBorders>
              <w:left w:val="single" w:sz="4" w:space="0" w:color="3366FF"/>
              <w:bottom w:val="single" w:sz="4" w:space="0" w:color="3366FF"/>
              <w:right w:val="single" w:sz="4" w:space="0" w:color="3366FF"/>
            </w:tcBorders>
          </w:tcPr>
          <w:p>
            <w:pPr>
              <w:pStyle w:val="TableParagraph"/>
              <w:rPr>
                <w:sz w:val="24"/>
              </w:rPr>
            </w:pPr>
          </w:p>
          <w:p>
            <w:pPr>
              <w:pStyle w:val="TableParagraph"/>
              <w:spacing w:before="9"/>
              <w:rPr>
                <w:sz w:val="22"/>
              </w:rPr>
            </w:pPr>
          </w:p>
          <w:p>
            <w:pPr>
              <w:pStyle w:val="TableParagraph"/>
              <w:spacing w:line="254" w:lineRule="auto"/>
              <w:ind w:left="64" w:right="594"/>
              <w:rPr>
                <w:sz w:val="22"/>
              </w:rPr>
            </w:pPr>
            <w:r>
              <w:rPr>
                <w:sz w:val="22"/>
              </w:rPr>
              <w:t>AMC1 </w:t>
            </w:r>
            <w:r>
              <w:rPr>
                <w:w w:val="90"/>
                <w:sz w:val="22"/>
              </w:rPr>
              <w:t>CAO.A.100(f)</w:t>
            </w:r>
          </w:p>
        </w:tc>
        <w:tc>
          <w:tcPr>
            <w:tcW w:w="4800" w:type="dxa"/>
            <w:tcBorders>
              <w:left w:val="single" w:sz="4" w:space="0" w:color="3366FF"/>
              <w:bottom w:val="single" w:sz="4" w:space="0" w:color="3366FF"/>
              <w:right w:val="single" w:sz="4" w:space="0" w:color="3366FF"/>
            </w:tcBorders>
          </w:tcPr>
          <w:p>
            <w:pPr>
              <w:pStyle w:val="TableParagraph"/>
              <w:spacing w:line="254" w:lineRule="auto" w:before="3"/>
              <w:ind w:left="64" w:right="59"/>
              <w:jc w:val="both"/>
              <w:rPr>
                <w:sz w:val="22"/>
              </w:rPr>
            </w:pPr>
            <w:r>
              <w:rPr>
                <w:w w:val="105"/>
                <w:sz w:val="22"/>
              </w:rPr>
              <w:t>The</w:t>
            </w:r>
            <w:r>
              <w:rPr>
                <w:spacing w:val="-21"/>
                <w:w w:val="105"/>
                <w:sz w:val="22"/>
              </w:rPr>
              <w:t> </w:t>
            </w:r>
            <w:r>
              <w:rPr>
                <w:w w:val="105"/>
                <w:sz w:val="22"/>
              </w:rPr>
              <w:t>primary</w:t>
            </w:r>
            <w:r>
              <w:rPr>
                <w:spacing w:val="-22"/>
                <w:w w:val="105"/>
                <w:sz w:val="22"/>
              </w:rPr>
              <w:t> </w:t>
            </w:r>
            <w:r>
              <w:rPr>
                <w:w w:val="105"/>
                <w:sz w:val="22"/>
              </w:rPr>
              <w:t>objectives</w:t>
            </w:r>
            <w:r>
              <w:rPr>
                <w:spacing w:val="-23"/>
                <w:w w:val="105"/>
                <w:sz w:val="22"/>
              </w:rPr>
              <w:t> </w:t>
            </w:r>
            <w:r>
              <w:rPr>
                <w:w w:val="105"/>
                <w:sz w:val="22"/>
              </w:rPr>
              <w:t>of</w:t>
            </w:r>
            <w:r>
              <w:rPr>
                <w:spacing w:val="-24"/>
                <w:w w:val="105"/>
                <w:sz w:val="22"/>
              </w:rPr>
              <w:t> </w:t>
            </w:r>
            <w:r>
              <w:rPr>
                <w:w w:val="105"/>
                <w:sz w:val="22"/>
              </w:rPr>
              <w:t>organisational</w:t>
            </w:r>
            <w:r>
              <w:rPr>
                <w:spacing w:val="-23"/>
                <w:w w:val="105"/>
                <w:sz w:val="22"/>
              </w:rPr>
              <w:t> </w:t>
            </w:r>
            <w:r>
              <w:rPr>
                <w:w w:val="105"/>
                <w:sz w:val="22"/>
              </w:rPr>
              <w:t>review</w:t>
            </w:r>
            <w:r>
              <w:rPr>
                <w:spacing w:val="-21"/>
                <w:w w:val="105"/>
                <w:sz w:val="22"/>
              </w:rPr>
              <w:t> </w:t>
            </w:r>
            <w:r>
              <w:rPr>
                <w:w w:val="105"/>
                <w:sz w:val="22"/>
              </w:rPr>
              <w:t>are to provide a monitoring function on how the organisation</w:t>
            </w:r>
            <w:r>
              <w:rPr>
                <w:spacing w:val="-37"/>
                <w:w w:val="105"/>
                <w:sz w:val="22"/>
              </w:rPr>
              <w:t> </w:t>
            </w:r>
            <w:r>
              <w:rPr>
                <w:w w:val="105"/>
                <w:sz w:val="22"/>
              </w:rPr>
              <w:t>ensures</w:t>
            </w:r>
            <w:r>
              <w:rPr>
                <w:spacing w:val="-34"/>
                <w:w w:val="105"/>
                <w:sz w:val="22"/>
              </w:rPr>
              <w:t> </w:t>
            </w:r>
            <w:r>
              <w:rPr>
                <w:w w:val="105"/>
                <w:sz w:val="22"/>
              </w:rPr>
              <w:t>compliance</w:t>
            </w:r>
            <w:r>
              <w:rPr>
                <w:spacing w:val="-34"/>
                <w:w w:val="105"/>
                <w:sz w:val="22"/>
              </w:rPr>
              <w:t> </w:t>
            </w:r>
            <w:r>
              <w:rPr>
                <w:w w:val="105"/>
                <w:sz w:val="22"/>
              </w:rPr>
              <w:t>with</w:t>
            </w:r>
            <w:r>
              <w:rPr>
                <w:spacing w:val="-35"/>
                <w:w w:val="105"/>
                <w:sz w:val="22"/>
              </w:rPr>
              <w:t> </w:t>
            </w:r>
            <w:r>
              <w:rPr>
                <w:w w:val="105"/>
                <w:sz w:val="22"/>
              </w:rPr>
              <w:t>the</w:t>
            </w:r>
            <w:r>
              <w:rPr>
                <w:spacing w:val="-34"/>
                <w:w w:val="105"/>
                <w:sz w:val="22"/>
              </w:rPr>
              <w:t> </w:t>
            </w:r>
            <w:r>
              <w:rPr>
                <w:w w:val="105"/>
                <w:sz w:val="22"/>
              </w:rPr>
              <w:t>applicable requirements, policies and procedures, and to request    actions    where    non-compliances  </w:t>
            </w:r>
            <w:r>
              <w:rPr>
                <w:spacing w:val="38"/>
                <w:w w:val="105"/>
                <w:sz w:val="22"/>
              </w:rPr>
              <w:t> </w:t>
            </w:r>
            <w:r>
              <w:rPr>
                <w:w w:val="105"/>
                <w:sz w:val="22"/>
              </w:rPr>
              <w:t>are</w:t>
            </w:r>
          </w:p>
          <w:p>
            <w:pPr>
              <w:pStyle w:val="TableParagraph"/>
              <w:spacing w:line="248" w:lineRule="exact" w:before="1"/>
              <w:ind w:left="64"/>
              <w:jc w:val="both"/>
              <w:rPr>
                <w:sz w:val="22"/>
              </w:rPr>
            </w:pPr>
            <w:r>
              <w:rPr>
                <w:sz w:val="22"/>
              </w:rPr>
              <w:t>identified.</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r>
        <w:trPr>
          <w:trHeight w:val="260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spacing w:before="10"/>
              <w:rPr>
                <w:sz w:val="29"/>
              </w:rPr>
            </w:pPr>
          </w:p>
          <w:p>
            <w:pPr>
              <w:pStyle w:val="TableParagraph"/>
              <w:ind w:left="369" w:right="369"/>
              <w:jc w:val="center"/>
              <w:rPr>
                <w:sz w:val="22"/>
              </w:rPr>
            </w:pPr>
            <w:r>
              <w:rPr>
                <w:w w:val="95"/>
                <w:sz w:val="22"/>
              </w:rPr>
              <w:t>AAD-2</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spacing w:line="254" w:lineRule="auto" w:before="209"/>
              <w:ind w:left="64" w:right="594"/>
              <w:rPr>
                <w:sz w:val="22"/>
              </w:rPr>
            </w:pPr>
            <w:r>
              <w:rPr>
                <w:sz w:val="22"/>
              </w:rPr>
              <w:t>AMC1 </w:t>
            </w:r>
            <w:r>
              <w:rPr>
                <w:w w:val="90"/>
                <w:sz w:val="22"/>
              </w:rPr>
              <w:t>CAO.A.100(f)</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tabs>
                <w:tab w:pos="972" w:val="left" w:leader="none"/>
                <w:tab w:pos="1938" w:val="left" w:leader="none"/>
                <w:tab w:pos="3113" w:val="left" w:leader="none"/>
                <w:tab w:pos="4368" w:val="left" w:leader="none"/>
              </w:tabs>
              <w:spacing w:before="97"/>
              <w:ind w:left="64"/>
              <w:rPr>
                <w:sz w:val="22"/>
              </w:rPr>
            </w:pPr>
            <w:r>
              <w:rPr>
                <w:sz w:val="22"/>
              </w:rPr>
              <w:t>The</w:t>
              <w:tab/>
              <w:t>CAO</w:t>
              <w:tab/>
              <w:t>should</w:t>
              <w:tab/>
              <w:t>identify</w:t>
              <w:tab/>
              <w:t>the:</w:t>
            </w:r>
          </w:p>
          <w:p>
            <w:pPr>
              <w:pStyle w:val="TableParagraph"/>
              <w:numPr>
                <w:ilvl w:val="0"/>
                <w:numId w:val="7"/>
              </w:numPr>
              <w:tabs>
                <w:tab w:pos="359" w:val="left" w:leader="none"/>
              </w:tabs>
              <w:spacing w:line="240" w:lineRule="auto" w:before="16" w:after="0"/>
              <w:ind w:left="64" w:right="0" w:firstLine="0"/>
              <w:jc w:val="left"/>
              <w:rPr>
                <w:sz w:val="22"/>
              </w:rPr>
            </w:pPr>
            <w:r>
              <w:rPr>
                <w:w w:val="105"/>
                <w:sz w:val="22"/>
              </w:rPr>
              <w:t>person</w:t>
            </w:r>
            <w:r>
              <w:rPr>
                <w:spacing w:val="-31"/>
                <w:w w:val="105"/>
                <w:sz w:val="22"/>
              </w:rPr>
              <w:t> </w:t>
            </w:r>
            <w:r>
              <w:rPr>
                <w:w w:val="105"/>
                <w:sz w:val="22"/>
              </w:rPr>
              <w:t>responsible</w:t>
            </w:r>
            <w:r>
              <w:rPr>
                <w:spacing w:val="-31"/>
                <w:w w:val="105"/>
                <w:sz w:val="22"/>
              </w:rPr>
              <w:t> </w:t>
            </w:r>
            <w:r>
              <w:rPr>
                <w:w w:val="105"/>
                <w:sz w:val="22"/>
              </w:rPr>
              <w:t>for</w:t>
            </w:r>
            <w:r>
              <w:rPr>
                <w:spacing w:val="-32"/>
                <w:w w:val="105"/>
                <w:sz w:val="22"/>
              </w:rPr>
              <w:t> </w:t>
            </w:r>
            <w:r>
              <w:rPr>
                <w:w w:val="105"/>
                <w:sz w:val="22"/>
              </w:rPr>
              <w:t>the</w:t>
            </w:r>
            <w:r>
              <w:rPr>
                <w:spacing w:val="-31"/>
                <w:w w:val="105"/>
                <w:sz w:val="22"/>
              </w:rPr>
              <w:t> </w:t>
            </w:r>
            <w:r>
              <w:rPr>
                <w:w w:val="105"/>
                <w:sz w:val="22"/>
              </w:rPr>
              <w:t>organisational</w:t>
            </w:r>
            <w:r>
              <w:rPr>
                <w:spacing w:val="-31"/>
                <w:w w:val="105"/>
                <w:sz w:val="22"/>
              </w:rPr>
              <w:t> </w:t>
            </w:r>
            <w:r>
              <w:rPr>
                <w:w w:val="105"/>
                <w:sz w:val="22"/>
              </w:rPr>
              <w:t>review;</w:t>
            </w:r>
          </w:p>
          <w:p>
            <w:pPr>
              <w:pStyle w:val="TableParagraph"/>
              <w:numPr>
                <w:ilvl w:val="0"/>
                <w:numId w:val="7"/>
              </w:numPr>
              <w:tabs>
                <w:tab w:pos="883" w:val="left" w:leader="none"/>
                <w:tab w:pos="884" w:val="left" w:leader="none"/>
                <w:tab w:pos="2354" w:val="left" w:leader="none"/>
                <w:tab w:pos="3107" w:val="left" w:leader="none"/>
                <w:tab w:pos="3979" w:val="left" w:leader="none"/>
              </w:tabs>
              <w:spacing w:line="240" w:lineRule="auto" w:before="16" w:after="0"/>
              <w:ind w:left="883" w:right="0" w:hanging="819"/>
              <w:jc w:val="left"/>
              <w:rPr>
                <w:sz w:val="22"/>
              </w:rPr>
            </w:pPr>
            <w:r>
              <w:rPr>
                <w:w w:val="105"/>
                <w:sz w:val="22"/>
              </w:rPr>
              <w:t>frequency</w:t>
              <w:tab/>
              <w:t>of</w:t>
              <w:tab/>
              <w:t>the</w:t>
              <w:tab/>
              <w:t>reviews;</w:t>
            </w:r>
          </w:p>
          <w:p>
            <w:pPr>
              <w:pStyle w:val="TableParagraph"/>
              <w:numPr>
                <w:ilvl w:val="0"/>
                <w:numId w:val="7"/>
              </w:numPr>
              <w:tabs>
                <w:tab w:pos="583" w:val="left" w:leader="none"/>
                <w:tab w:pos="584" w:val="left" w:leader="none"/>
                <w:tab w:pos="1376" w:val="left" w:leader="none"/>
                <w:tab w:pos="1984" w:val="left" w:leader="none"/>
                <w:tab w:pos="2954" w:val="left" w:leader="none"/>
                <w:tab w:pos="3408" w:val="left" w:leader="none"/>
                <w:tab w:pos="3980" w:val="left" w:leader="none"/>
              </w:tabs>
              <w:spacing w:line="240" w:lineRule="auto" w:before="16" w:after="0"/>
              <w:ind w:left="583" w:right="0" w:hanging="519"/>
              <w:jc w:val="left"/>
              <w:rPr>
                <w:sz w:val="22"/>
              </w:rPr>
            </w:pPr>
            <w:r>
              <w:rPr>
                <w:w w:val="105"/>
                <w:sz w:val="22"/>
              </w:rPr>
              <w:t>scope</w:t>
              <w:tab/>
              <w:t>and</w:t>
              <w:tab/>
              <w:t>content</w:t>
              <w:tab/>
              <w:t>of</w:t>
              <w:tab/>
              <w:t>the</w:t>
              <w:tab/>
              <w:t>reviews;</w:t>
            </w:r>
          </w:p>
          <w:p>
            <w:pPr>
              <w:pStyle w:val="TableParagraph"/>
              <w:numPr>
                <w:ilvl w:val="0"/>
                <w:numId w:val="7"/>
              </w:numPr>
              <w:tabs>
                <w:tab w:pos="659" w:val="left" w:leader="none"/>
                <w:tab w:pos="660" w:val="left" w:leader="none"/>
                <w:tab w:pos="1713" w:val="left" w:leader="none"/>
                <w:tab w:pos="3333" w:val="left" w:leader="none"/>
                <w:tab w:pos="3981" w:val="left" w:leader="none"/>
              </w:tabs>
              <w:spacing w:line="240" w:lineRule="auto" w:before="16" w:after="0"/>
              <w:ind w:left="659" w:right="0" w:hanging="595"/>
              <w:jc w:val="left"/>
              <w:rPr>
                <w:sz w:val="22"/>
              </w:rPr>
            </w:pPr>
            <w:r>
              <w:rPr>
                <w:w w:val="105"/>
                <w:sz w:val="22"/>
              </w:rPr>
              <w:t>persons</w:t>
              <w:tab/>
              <w:t>accomplishing</w:t>
              <w:tab/>
              <w:t>the</w:t>
              <w:tab/>
              <w:t>reviews;</w:t>
            </w:r>
          </w:p>
          <w:p>
            <w:pPr>
              <w:pStyle w:val="TableParagraph"/>
              <w:numPr>
                <w:ilvl w:val="0"/>
                <w:numId w:val="7"/>
              </w:numPr>
              <w:tabs>
                <w:tab w:pos="523" w:val="left" w:leader="none"/>
                <w:tab w:pos="524" w:val="left" w:leader="none"/>
                <w:tab w:pos="1662" w:val="left" w:leader="none"/>
                <w:tab w:pos="2135" w:val="left" w:leader="none"/>
                <w:tab w:pos="2957" w:val="left" w:leader="none"/>
                <w:tab w:pos="3170" w:val="left" w:leader="none"/>
                <w:tab w:pos="4390" w:val="left" w:leader="none"/>
              </w:tabs>
              <w:spacing w:line="254" w:lineRule="auto" w:before="16" w:after="0"/>
              <w:ind w:left="64" w:right="60" w:firstLine="0"/>
              <w:jc w:val="left"/>
              <w:rPr>
                <w:sz w:val="22"/>
              </w:rPr>
            </w:pPr>
            <w:r>
              <w:rPr>
                <w:sz w:val="22"/>
              </w:rPr>
              <w:t>procedure</w:t>
              <w:tab/>
              <w:t>for</w:t>
              <w:tab/>
            </w:r>
            <w:r>
              <w:rPr>
                <w:spacing w:val="-1"/>
                <w:sz w:val="22"/>
              </w:rPr>
              <w:t>planning,</w:t>
              <w:tab/>
            </w:r>
            <w:r>
              <w:rPr>
                <w:sz w:val="22"/>
              </w:rPr>
              <w:t>performing</w:t>
              <w:tab/>
              <w:t>and processing</w:t>
              <w:tab/>
              <w:t>review</w:t>
              <w:tab/>
              <w:t>findings;</w:t>
              <w:tab/>
              <w:t>and</w:t>
            </w:r>
          </w:p>
          <w:p>
            <w:pPr>
              <w:pStyle w:val="TableParagraph"/>
              <w:numPr>
                <w:ilvl w:val="0"/>
                <w:numId w:val="7"/>
              </w:numPr>
              <w:tabs>
                <w:tab w:pos="418" w:val="left" w:leader="none"/>
              </w:tabs>
              <w:spacing w:line="254" w:lineRule="auto" w:before="1" w:after="0"/>
              <w:ind w:left="64" w:right="59" w:firstLine="0"/>
              <w:jc w:val="left"/>
              <w:rPr>
                <w:sz w:val="22"/>
              </w:rPr>
            </w:pPr>
            <w:r>
              <w:rPr>
                <w:w w:val="105"/>
                <w:sz w:val="22"/>
              </w:rPr>
              <w:t>procedure for ensuring corrective actions are carried</w:t>
            </w:r>
            <w:r>
              <w:rPr>
                <w:spacing w:val="-11"/>
                <w:w w:val="105"/>
                <w:sz w:val="22"/>
              </w:rPr>
              <w:t> </w:t>
            </w:r>
            <w:r>
              <w:rPr>
                <w:w w:val="105"/>
                <w:sz w:val="22"/>
              </w:rPr>
              <w:t>out</w:t>
            </w:r>
            <w:r>
              <w:rPr>
                <w:spacing w:val="-7"/>
                <w:w w:val="105"/>
                <w:sz w:val="22"/>
              </w:rPr>
              <w:t> </w:t>
            </w:r>
            <w:r>
              <w:rPr>
                <w:w w:val="105"/>
                <w:sz w:val="22"/>
              </w:rPr>
              <w:t>in</w:t>
            </w:r>
            <w:r>
              <w:rPr>
                <w:spacing w:val="-10"/>
                <w:w w:val="105"/>
                <w:sz w:val="22"/>
              </w:rPr>
              <w:t> </w:t>
            </w:r>
            <w:r>
              <w:rPr>
                <w:w w:val="105"/>
                <w:sz w:val="22"/>
              </w:rPr>
              <w:t>the</w:t>
            </w:r>
            <w:r>
              <w:rPr>
                <w:spacing w:val="-8"/>
                <w:w w:val="105"/>
                <w:sz w:val="22"/>
              </w:rPr>
              <w:t> </w:t>
            </w:r>
            <w:r>
              <w:rPr>
                <w:w w:val="105"/>
                <w:sz w:val="22"/>
              </w:rPr>
              <w:t>appropriate</w:t>
            </w:r>
            <w:r>
              <w:rPr>
                <w:spacing w:val="-8"/>
                <w:w w:val="105"/>
                <w:sz w:val="22"/>
              </w:rPr>
              <w:t> </w:t>
            </w:r>
            <w:r>
              <w:rPr>
                <w:w w:val="105"/>
                <w:sz w:val="22"/>
              </w:rPr>
              <w:t>time</w:t>
            </w:r>
            <w:r>
              <w:rPr>
                <w:spacing w:val="-10"/>
                <w:w w:val="105"/>
                <w:sz w:val="22"/>
              </w:rPr>
              <w:t> </w:t>
            </w:r>
            <w:r>
              <w:rPr>
                <w:w w:val="105"/>
                <w:sz w:val="22"/>
              </w:rPr>
              <w:t>frame.</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280" w:hRule="atLeast"/>
        </w:trPr>
        <w:tc>
          <w:tcPr>
            <w:tcW w:w="16018" w:type="dxa"/>
            <w:gridSpan w:val="10"/>
            <w:tcBorders>
              <w:top w:val="single" w:sz="4" w:space="0" w:color="3366FF"/>
              <w:left w:val="single" w:sz="4" w:space="0" w:color="3366FF"/>
              <w:bottom w:val="single" w:sz="4" w:space="0" w:color="3366FF"/>
              <w:right w:val="single" w:sz="4" w:space="0" w:color="3366FF"/>
            </w:tcBorders>
            <w:shd w:val="clear" w:color="auto" w:fill="FFC000"/>
          </w:tcPr>
          <w:p>
            <w:pPr>
              <w:pStyle w:val="TableParagraph"/>
              <w:spacing w:before="1"/>
              <w:ind w:left="64"/>
              <w:rPr>
                <w:sz w:val="22"/>
              </w:rPr>
            </w:pPr>
            <w:r>
              <w:rPr>
                <w:w w:val="95"/>
                <w:sz w:val="22"/>
              </w:rPr>
              <w:t>CAO.A.105 Kuruluştaki değişiklikler</w:t>
            </w:r>
          </w:p>
        </w:tc>
      </w:tr>
      <w:tr>
        <w:trPr>
          <w:trHeight w:val="13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9"/>
              <w:rPr>
                <w:sz w:val="22"/>
              </w:rPr>
            </w:pPr>
          </w:p>
          <w:p>
            <w:pPr>
              <w:pStyle w:val="TableParagraph"/>
              <w:ind w:left="369" w:right="370"/>
              <w:jc w:val="center"/>
              <w:rPr>
                <w:sz w:val="22"/>
              </w:rPr>
            </w:pPr>
            <w:r>
              <w:rPr>
                <w:sz w:val="22"/>
              </w:rPr>
              <w:t>37</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spacing w:before="9"/>
              <w:rPr>
                <w:sz w:val="22"/>
              </w:rPr>
            </w:pPr>
          </w:p>
          <w:p>
            <w:pPr>
              <w:pStyle w:val="TableParagraph"/>
              <w:ind w:left="64"/>
              <w:rPr>
                <w:sz w:val="22"/>
              </w:rPr>
            </w:pPr>
            <w:r>
              <w:rPr>
                <w:w w:val="90"/>
                <w:sz w:val="22"/>
              </w:rPr>
              <w:t>CAO.A.105 (a)</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9"/>
              <w:rPr>
                <w:sz w:val="22"/>
              </w:rPr>
            </w:pPr>
            <w:r>
              <w:rPr>
                <w:sz w:val="22"/>
              </w:rPr>
              <w:t>CAO, Genel Müdürlüğün Part-CAO ile sürekli uygunluğu tespit etmesine imkan vermek amacıyla, CAO.A.105 (a)'da belirtilen değişiklikler gerçekleşmeden önce Genel</w:t>
            </w:r>
            <w:r>
              <w:rPr>
                <w:spacing w:val="53"/>
                <w:sz w:val="22"/>
              </w:rPr>
              <w:t> </w:t>
            </w:r>
            <w:r>
              <w:rPr>
                <w:sz w:val="22"/>
              </w:rPr>
              <w:t>Müdürlüğe</w:t>
            </w:r>
          </w:p>
          <w:p>
            <w:pPr>
              <w:pStyle w:val="TableParagraph"/>
              <w:spacing w:line="246" w:lineRule="exact"/>
              <w:ind w:left="64"/>
              <w:rPr>
                <w:sz w:val="22"/>
              </w:rPr>
            </w:pPr>
            <w:r>
              <w:rPr>
                <w:sz w:val="22"/>
              </w:rPr>
              <w:t>bildirmekten sorumludur.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5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57"/>
              <w:ind w:left="369" w:right="369"/>
              <w:jc w:val="center"/>
              <w:rPr>
                <w:sz w:val="22"/>
              </w:rPr>
            </w:pPr>
            <w:r>
              <w:rPr>
                <w:w w:val="95"/>
                <w:sz w:val="22"/>
              </w:rPr>
              <w:t>AAD-1</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22"/>
              <w:ind w:left="64" w:right="59"/>
              <w:rPr>
                <w:sz w:val="22"/>
              </w:rPr>
            </w:pPr>
            <w:r>
              <w:rPr>
                <w:sz w:val="22"/>
              </w:rPr>
              <w:t>Onay sertifikasında yer alan bilgileri ve CAO onay koşullarını etkileyen değişikler,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52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35"/>
              <w:ind w:left="369" w:right="369"/>
              <w:jc w:val="center"/>
              <w:rPr>
                <w:sz w:val="22"/>
              </w:rPr>
            </w:pPr>
            <w:r>
              <w:rPr>
                <w:w w:val="95"/>
                <w:sz w:val="22"/>
              </w:rPr>
              <w:t>AAD-2</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before="1"/>
              <w:ind w:left="64"/>
              <w:rPr>
                <w:sz w:val="22"/>
              </w:rPr>
            </w:pPr>
            <w:r>
              <w:rPr>
                <w:sz w:val="22"/>
              </w:rPr>
              <w:t>CAO.A.035(a)  ve  (b)’de  belirtilen  yöneticilerdeki</w:t>
            </w:r>
          </w:p>
          <w:p>
            <w:pPr>
              <w:pStyle w:val="TableParagraph"/>
              <w:spacing w:line="248" w:lineRule="exact" w:before="16"/>
              <w:ind w:left="64"/>
              <w:rPr>
                <w:sz w:val="22"/>
              </w:rPr>
            </w:pPr>
            <w:r>
              <w:rPr>
                <w:sz w:val="22"/>
              </w:rPr>
              <w:t>değişiklikler,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bl>
    <w:p>
      <w:pPr>
        <w:spacing w:after="0"/>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spacing w:before="4" w:after="1"/>
        <w:rPr>
          <w:sz w:val="17"/>
        </w:rPr>
      </w:pPr>
    </w:p>
    <w:tbl>
      <w:tblPr>
        <w:tblW w:w="0" w:type="auto"/>
        <w:jc w:val="left"/>
        <w:tblInd w:w="118" w:type="dxa"/>
        <w:tblBorders>
          <w:top w:val="single" w:sz="4" w:space="0" w:color="2D74B5"/>
          <w:left w:val="single" w:sz="4" w:space="0" w:color="2D74B5"/>
          <w:bottom w:val="single" w:sz="4" w:space="0" w:color="2D74B5"/>
          <w:right w:val="single" w:sz="4" w:space="0" w:color="2D74B5"/>
          <w:insideH w:val="single" w:sz="4" w:space="0" w:color="2D74B5"/>
          <w:insideV w:val="single" w:sz="4" w:space="0" w:color="2D74B5"/>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1600" w:hRule="atLeast"/>
        </w:trPr>
        <w:tc>
          <w:tcPr>
            <w:tcW w:w="1560" w:type="dxa"/>
            <w:tcBorders>
              <w:left w:val="single" w:sz="4" w:space="0" w:color="3366FF"/>
              <w:bottom w:val="single" w:sz="4" w:space="0" w:color="3366FF"/>
              <w:right w:val="single" w:sz="4" w:space="0" w:color="3366FF"/>
            </w:tcBorders>
          </w:tcPr>
          <w:p>
            <w:pPr>
              <w:pStyle w:val="TableParagraph"/>
              <w:rPr>
                <w:sz w:val="24"/>
              </w:rPr>
            </w:pPr>
          </w:p>
          <w:p>
            <w:pPr>
              <w:pStyle w:val="TableParagraph"/>
              <w:spacing w:before="5"/>
              <w:rPr>
                <w:sz w:val="34"/>
              </w:rPr>
            </w:pPr>
          </w:p>
          <w:p>
            <w:pPr>
              <w:pStyle w:val="TableParagraph"/>
              <w:spacing w:before="1"/>
              <w:ind w:left="369" w:right="369"/>
              <w:jc w:val="center"/>
              <w:rPr>
                <w:sz w:val="22"/>
              </w:rPr>
            </w:pPr>
            <w:r>
              <w:rPr>
                <w:w w:val="95"/>
                <w:sz w:val="22"/>
              </w:rPr>
              <w:t>AAD-3</w:t>
            </w:r>
          </w:p>
        </w:tc>
        <w:tc>
          <w:tcPr>
            <w:tcW w:w="1843" w:type="dxa"/>
            <w:tcBorders>
              <w:left w:val="single" w:sz="4" w:space="0" w:color="3366FF"/>
              <w:bottom w:val="single" w:sz="4" w:space="0" w:color="3366FF"/>
              <w:right w:val="single" w:sz="4" w:space="0" w:color="3366FF"/>
            </w:tcBorders>
          </w:tcPr>
          <w:p>
            <w:pPr>
              <w:pStyle w:val="TableParagraph"/>
              <w:rPr>
                <w:sz w:val="22"/>
              </w:rPr>
            </w:pPr>
          </w:p>
        </w:tc>
        <w:tc>
          <w:tcPr>
            <w:tcW w:w="4800" w:type="dxa"/>
            <w:tcBorders>
              <w:left w:val="single" w:sz="4" w:space="0" w:color="3366FF"/>
              <w:bottom w:val="single" w:sz="4" w:space="0" w:color="3366FF"/>
              <w:right w:val="single" w:sz="4" w:space="0" w:color="3366FF"/>
            </w:tcBorders>
          </w:tcPr>
          <w:p>
            <w:pPr>
              <w:pStyle w:val="TableParagraph"/>
              <w:spacing w:line="254" w:lineRule="auto" w:before="1"/>
              <w:ind w:left="64" w:right="58"/>
              <w:jc w:val="both"/>
              <w:rPr>
                <w:sz w:val="22"/>
              </w:rPr>
            </w:pPr>
            <w:r>
              <w:rPr>
                <w:sz w:val="22"/>
              </w:rPr>
              <w:t>Azami</w:t>
            </w:r>
            <w:r>
              <w:rPr>
                <w:spacing w:val="-36"/>
                <w:sz w:val="22"/>
              </w:rPr>
              <w:t> </w:t>
            </w:r>
            <w:r>
              <w:rPr>
                <w:sz w:val="22"/>
              </w:rPr>
              <w:t>kalkış</w:t>
            </w:r>
            <w:r>
              <w:rPr>
                <w:spacing w:val="-37"/>
                <w:sz w:val="22"/>
              </w:rPr>
              <w:t> </w:t>
            </w:r>
            <w:r>
              <w:rPr>
                <w:sz w:val="22"/>
              </w:rPr>
              <w:t>ağırlığı</w:t>
            </w:r>
            <w:r>
              <w:rPr>
                <w:spacing w:val="-36"/>
                <w:sz w:val="22"/>
              </w:rPr>
              <w:t> </w:t>
            </w:r>
            <w:r>
              <w:rPr>
                <w:sz w:val="22"/>
              </w:rPr>
              <w:t>(MTOM)</w:t>
            </w:r>
            <w:r>
              <w:rPr>
                <w:spacing w:val="-38"/>
                <w:sz w:val="22"/>
              </w:rPr>
              <w:t> </w:t>
            </w:r>
            <w:r>
              <w:rPr>
                <w:sz w:val="22"/>
              </w:rPr>
              <w:t>2730kg</w:t>
            </w:r>
            <w:r>
              <w:rPr>
                <w:spacing w:val="-36"/>
                <w:sz w:val="22"/>
              </w:rPr>
              <w:t> </w:t>
            </w:r>
            <w:r>
              <w:rPr>
                <w:sz w:val="22"/>
              </w:rPr>
              <w:t>üzeri</w:t>
            </w:r>
            <w:r>
              <w:rPr>
                <w:spacing w:val="-38"/>
                <w:sz w:val="22"/>
              </w:rPr>
              <w:t> </w:t>
            </w:r>
            <w:r>
              <w:rPr>
                <w:sz w:val="22"/>
              </w:rPr>
              <w:t>uçaklar</w:t>
            </w:r>
            <w:r>
              <w:rPr>
                <w:spacing w:val="-38"/>
                <w:sz w:val="22"/>
              </w:rPr>
              <w:t> </w:t>
            </w:r>
            <w:r>
              <w:rPr>
                <w:sz w:val="22"/>
              </w:rPr>
              <w:t>ve Azami kalkış ağırlığı (MTOM) 1200kg üzeri veya 4 koltuk üzerine sertifikalandırılmış helikopterler durumunda, CAO.A.020 (a)(1) bendinde belirtilen onay  kapsamında  yer  alan  hava  aracı </w:t>
            </w:r>
            <w:r>
              <w:rPr>
                <w:spacing w:val="7"/>
                <w:sz w:val="22"/>
              </w:rPr>
              <w:t> </w:t>
            </w:r>
            <w:r>
              <w:rPr>
                <w:sz w:val="22"/>
              </w:rPr>
              <w:t>tiplerindeki</w:t>
            </w:r>
          </w:p>
          <w:p>
            <w:pPr>
              <w:pStyle w:val="TableParagraph"/>
              <w:spacing w:line="245" w:lineRule="exact" w:before="1"/>
              <w:ind w:left="64"/>
              <w:jc w:val="both"/>
              <w:rPr>
                <w:sz w:val="22"/>
              </w:rPr>
            </w:pPr>
            <w:r>
              <w:rPr>
                <w:sz w:val="22"/>
              </w:rPr>
              <w:t>değişiklikler,</w:t>
            </w:r>
          </w:p>
        </w:tc>
        <w:tc>
          <w:tcPr>
            <w:tcW w:w="497" w:type="dxa"/>
            <w:tcBorders>
              <w:left w:val="single" w:sz="4" w:space="0" w:color="3366FF"/>
              <w:bottom w:val="single" w:sz="4" w:space="0" w:color="3366FF"/>
              <w:right w:val="single" w:sz="4" w:space="0" w:color="3366FF"/>
            </w:tcBorders>
          </w:tcPr>
          <w:p>
            <w:pPr>
              <w:pStyle w:val="TableParagraph"/>
              <w:rPr>
                <w:sz w:val="22"/>
              </w:rPr>
            </w:pPr>
          </w:p>
        </w:tc>
        <w:tc>
          <w:tcPr>
            <w:tcW w:w="492" w:type="dxa"/>
            <w:tcBorders>
              <w:left w:val="single" w:sz="4" w:space="0" w:color="3366FF"/>
              <w:bottom w:val="single" w:sz="4" w:space="0" w:color="3366FF"/>
              <w:right w:val="single" w:sz="4" w:space="0" w:color="3366FF"/>
            </w:tcBorders>
          </w:tcPr>
          <w:p>
            <w:pPr>
              <w:pStyle w:val="TableParagraph"/>
              <w:rPr>
                <w:sz w:val="22"/>
              </w:rPr>
            </w:pPr>
          </w:p>
        </w:tc>
        <w:tc>
          <w:tcPr>
            <w:tcW w:w="504" w:type="dxa"/>
            <w:tcBorders>
              <w:left w:val="single" w:sz="4" w:space="0" w:color="3366FF"/>
              <w:bottom w:val="single" w:sz="4" w:space="0" w:color="3366FF"/>
              <w:right w:val="single" w:sz="4" w:space="0" w:color="3366FF"/>
            </w:tcBorders>
          </w:tcPr>
          <w:p>
            <w:pPr>
              <w:pStyle w:val="TableParagraph"/>
              <w:rPr>
                <w:sz w:val="22"/>
              </w:rPr>
            </w:pPr>
          </w:p>
        </w:tc>
        <w:tc>
          <w:tcPr>
            <w:tcW w:w="487" w:type="dxa"/>
            <w:tcBorders>
              <w:left w:val="single" w:sz="4" w:space="0" w:color="3366FF"/>
              <w:bottom w:val="single" w:sz="4" w:space="0" w:color="3366FF"/>
              <w:right w:val="single" w:sz="4" w:space="0" w:color="3366FF"/>
            </w:tcBorders>
          </w:tcPr>
          <w:p>
            <w:pPr>
              <w:pStyle w:val="TableParagraph"/>
              <w:rPr>
                <w:sz w:val="22"/>
              </w:rPr>
            </w:pPr>
          </w:p>
        </w:tc>
        <w:tc>
          <w:tcPr>
            <w:tcW w:w="418" w:type="dxa"/>
            <w:tcBorders>
              <w:left w:val="single" w:sz="4" w:space="0" w:color="3366FF"/>
              <w:bottom w:val="single" w:sz="4" w:space="0" w:color="3366FF"/>
              <w:right w:val="single" w:sz="4" w:space="0" w:color="3366FF"/>
            </w:tcBorders>
          </w:tcPr>
          <w:p>
            <w:pPr>
              <w:pStyle w:val="TableParagraph"/>
              <w:rPr>
                <w:sz w:val="22"/>
              </w:rPr>
            </w:pPr>
          </w:p>
        </w:tc>
        <w:tc>
          <w:tcPr>
            <w:tcW w:w="446" w:type="dxa"/>
            <w:tcBorders>
              <w:left w:val="single" w:sz="4" w:space="0" w:color="3366FF"/>
              <w:bottom w:val="single" w:sz="4" w:space="0" w:color="3366FF"/>
              <w:right w:val="single" w:sz="4" w:space="0" w:color="3366FF"/>
            </w:tcBorders>
          </w:tcPr>
          <w:p>
            <w:pPr>
              <w:pStyle w:val="TableParagraph"/>
              <w:rPr>
                <w:sz w:val="22"/>
              </w:rPr>
            </w:pPr>
          </w:p>
        </w:tc>
        <w:tc>
          <w:tcPr>
            <w:tcW w:w="4970" w:type="dxa"/>
            <w:tcBorders>
              <w:left w:val="nil"/>
              <w:bottom w:val="nil"/>
              <w:right w:val="nil"/>
            </w:tcBorders>
            <w:shd w:val="clear" w:color="auto" w:fill="3366FF"/>
          </w:tcPr>
          <w:p>
            <w:pPr>
              <w:pStyle w:val="TableParagraph"/>
              <w:rPr>
                <w:sz w:val="22"/>
              </w:rPr>
            </w:pPr>
          </w:p>
        </w:tc>
      </w:tr>
      <w:tr>
        <w:trPr>
          <w:trHeight w:val="5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57"/>
              <w:ind w:left="369" w:right="369"/>
              <w:jc w:val="center"/>
              <w:rPr>
                <w:sz w:val="22"/>
              </w:rPr>
            </w:pPr>
            <w:r>
              <w:rPr>
                <w:w w:val="95"/>
                <w:sz w:val="22"/>
              </w:rPr>
              <w:t>AAD-4</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2" w:lineRule="auto" w:before="25"/>
              <w:ind w:left="64" w:right="59"/>
              <w:rPr>
                <w:sz w:val="22"/>
              </w:rPr>
            </w:pPr>
            <w:r>
              <w:rPr>
                <w:sz w:val="22"/>
              </w:rPr>
              <w:t>tam türbin motorlar durumunda, CAO.A.020 (a)(2) bendinde belirtilen onay kapsamındaki değişiklikler,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58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spacing w:before="157"/>
              <w:ind w:left="369" w:right="369"/>
              <w:jc w:val="center"/>
              <w:rPr>
                <w:sz w:val="22"/>
              </w:rPr>
            </w:pPr>
            <w:r>
              <w:rPr>
                <w:w w:val="95"/>
                <w:sz w:val="22"/>
              </w:rPr>
              <w:t>AAD-5</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00" w:type="dxa"/>
            <w:tcBorders>
              <w:top w:val="single" w:sz="4" w:space="0" w:color="3366FF"/>
              <w:left w:val="single" w:sz="4" w:space="0" w:color="3366FF"/>
              <w:bottom w:val="single" w:sz="4" w:space="0" w:color="3366FF"/>
              <w:right w:val="single" w:sz="4" w:space="0" w:color="3366FF"/>
            </w:tcBorders>
          </w:tcPr>
          <w:p>
            <w:pPr>
              <w:pStyle w:val="TableParagraph"/>
              <w:tabs>
                <w:tab w:pos="1316" w:val="left" w:leader="none"/>
                <w:tab w:pos="1853" w:val="left" w:leader="none"/>
                <w:tab w:pos="2987" w:val="left" w:leader="none"/>
                <w:tab w:pos="4079" w:val="left" w:leader="none"/>
              </w:tabs>
              <w:spacing w:line="254" w:lineRule="auto" w:before="22"/>
              <w:ind w:left="64" w:right="62"/>
              <w:rPr>
                <w:sz w:val="22"/>
              </w:rPr>
            </w:pPr>
            <w:r>
              <w:rPr>
                <w:w w:val="95"/>
                <w:sz w:val="22"/>
              </w:rPr>
              <w:t>CAO.A.105</w:t>
              <w:tab/>
            </w:r>
            <w:r>
              <w:rPr>
                <w:sz w:val="22"/>
              </w:rPr>
              <w:t>(b)</w:t>
              <w:tab/>
              <w:t>bendinde</w:t>
              <w:tab/>
              <w:t>belirtilen</w:t>
              <w:tab/>
            </w:r>
            <w:r>
              <w:rPr>
                <w:spacing w:val="-1"/>
                <w:sz w:val="22"/>
              </w:rPr>
              <w:t>kontrol </w:t>
            </w:r>
            <w:r>
              <w:rPr>
                <w:sz w:val="22"/>
              </w:rPr>
              <w:t>prosedüründe yapılacak</w:t>
            </w:r>
            <w:r>
              <w:rPr>
                <w:spacing w:val="-13"/>
                <w:sz w:val="22"/>
              </w:rPr>
              <w:t> </w:t>
            </w:r>
            <w:r>
              <w:rPr>
                <w:sz w:val="22"/>
              </w:rPr>
              <w:t>değişiklikler.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240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spacing w:before="6"/>
              <w:rPr>
                <w:sz w:val="21"/>
              </w:rPr>
            </w:pPr>
          </w:p>
          <w:p>
            <w:pPr>
              <w:pStyle w:val="TableParagraph"/>
              <w:ind w:left="369" w:right="370"/>
              <w:jc w:val="center"/>
              <w:rPr>
                <w:sz w:val="22"/>
              </w:rPr>
            </w:pPr>
            <w:r>
              <w:rPr>
                <w:sz w:val="22"/>
              </w:rPr>
              <w:t>38</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rPr>
                <w:sz w:val="24"/>
              </w:rPr>
            </w:pPr>
          </w:p>
          <w:p>
            <w:pPr>
              <w:pStyle w:val="TableParagraph"/>
              <w:spacing w:before="6"/>
              <w:rPr>
                <w:sz w:val="21"/>
              </w:rPr>
            </w:pPr>
          </w:p>
          <w:p>
            <w:pPr>
              <w:pStyle w:val="TableParagraph"/>
              <w:ind w:left="64"/>
              <w:rPr>
                <w:sz w:val="22"/>
              </w:rPr>
            </w:pPr>
            <w:r>
              <w:rPr>
                <w:w w:val="90"/>
                <w:sz w:val="22"/>
              </w:rPr>
              <w:t>CAO.A.105 (b)</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53"/>
              <w:rPr>
                <w:sz w:val="22"/>
              </w:rPr>
            </w:pPr>
            <w:r>
              <w:rPr>
                <w:sz w:val="22"/>
              </w:rPr>
              <w:t>İstasyonlar, tesisler, ekipman, aletler, malzeme, prosedürler, onay kapsamı ve personeldeki diğer  tüm değişiklikler, CAE içerisinde tanımlanan</w:t>
            </w:r>
            <w:r>
              <w:rPr>
                <w:spacing w:val="-24"/>
                <w:sz w:val="22"/>
              </w:rPr>
              <w:t> </w:t>
            </w:r>
            <w:r>
              <w:rPr>
                <w:sz w:val="22"/>
              </w:rPr>
              <w:t>kontrol prosedürüne uygun olarak CAO tarafından kontrol edilir.</w:t>
            </w:r>
            <w:r>
              <w:rPr>
                <w:spacing w:val="-21"/>
                <w:sz w:val="22"/>
              </w:rPr>
              <w:t> </w:t>
            </w:r>
            <w:r>
              <w:rPr>
                <w:sz w:val="22"/>
              </w:rPr>
              <w:t>CAO</w:t>
            </w:r>
            <w:r>
              <w:rPr>
                <w:spacing w:val="-21"/>
                <w:sz w:val="22"/>
              </w:rPr>
              <w:t> </w:t>
            </w:r>
            <w:r>
              <w:rPr>
                <w:sz w:val="22"/>
              </w:rPr>
              <w:t>bu</w:t>
            </w:r>
            <w:r>
              <w:rPr>
                <w:spacing w:val="-21"/>
                <w:sz w:val="22"/>
              </w:rPr>
              <w:t> </w:t>
            </w:r>
            <w:r>
              <w:rPr>
                <w:sz w:val="22"/>
              </w:rPr>
              <w:t>değişiklikleri</w:t>
            </w:r>
            <w:r>
              <w:rPr>
                <w:spacing w:val="-21"/>
                <w:sz w:val="22"/>
              </w:rPr>
              <w:t> </w:t>
            </w:r>
            <w:r>
              <w:rPr>
                <w:sz w:val="22"/>
              </w:rPr>
              <w:t>tanımlayan</w:t>
            </w:r>
            <w:r>
              <w:rPr>
                <w:spacing w:val="-21"/>
                <w:sz w:val="22"/>
              </w:rPr>
              <w:t> </w:t>
            </w:r>
            <w:r>
              <w:rPr>
                <w:sz w:val="22"/>
              </w:rPr>
              <w:t>bir</w:t>
            </w:r>
            <w:r>
              <w:rPr>
                <w:spacing w:val="-21"/>
                <w:sz w:val="22"/>
              </w:rPr>
              <w:t> </w:t>
            </w:r>
            <w:r>
              <w:rPr>
                <w:sz w:val="22"/>
              </w:rPr>
              <w:t>bildirimi ve bu kapsamda güncellenen CAE'yi değişiklikler gerçekleşmesini takip eden 15 gün içerisinde Genel Müdürlüğe</w:t>
            </w:r>
            <w:r>
              <w:rPr>
                <w:spacing w:val="33"/>
                <w:sz w:val="22"/>
              </w:rPr>
              <w:t> </w:t>
            </w:r>
            <w:r>
              <w:rPr>
                <w:sz w:val="22"/>
              </w:rPr>
              <w:t>sunar.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r>
        <w:trPr>
          <w:trHeight w:val="280" w:hRule="atLeast"/>
        </w:trPr>
        <w:tc>
          <w:tcPr>
            <w:tcW w:w="16018" w:type="dxa"/>
            <w:gridSpan w:val="10"/>
            <w:tcBorders>
              <w:top w:val="single" w:sz="4" w:space="0" w:color="3366FF"/>
              <w:left w:val="single" w:sz="4" w:space="0" w:color="3366FF"/>
              <w:bottom w:val="single" w:sz="4" w:space="0" w:color="3366FF"/>
              <w:right w:val="single" w:sz="4" w:space="0" w:color="3366FF"/>
            </w:tcBorders>
            <w:shd w:val="clear" w:color="auto" w:fill="FFC000"/>
          </w:tcPr>
          <w:p>
            <w:pPr>
              <w:pStyle w:val="TableParagraph"/>
              <w:spacing w:before="1"/>
              <w:ind w:left="64"/>
              <w:rPr>
                <w:sz w:val="22"/>
              </w:rPr>
            </w:pPr>
            <w:r>
              <w:rPr>
                <w:w w:val="95"/>
                <w:sz w:val="22"/>
              </w:rPr>
              <w:t>ML.A.202 Olay raporu</w:t>
            </w:r>
          </w:p>
        </w:tc>
      </w:tr>
      <w:tr>
        <w:trPr>
          <w:trHeight w:val="2140" w:hRule="atLeast"/>
        </w:trPr>
        <w:tc>
          <w:tcPr>
            <w:tcW w:w="1560"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10"/>
              <w:rPr>
                <w:sz w:val="33"/>
              </w:rPr>
            </w:pPr>
          </w:p>
          <w:p>
            <w:pPr>
              <w:pStyle w:val="TableParagraph"/>
              <w:ind w:left="369" w:right="370"/>
              <w:jc w:val="center"/>
              <w:rPr>
                <w:sz w:val="22"/>
              </w:rPr>
            </w:pPr>
            <w:r>
              <w:rPr>
                <w:sz w:val="22"/>
              </w:rPr>
              <w:t>39</w:t>
            </w:r>
          </w:p>
        </w:tc>
        <w:tc>
          <w:tcPr>
            <w:tcW w:w="1843" w:type="dxa"/>
            <w:tcBorders>
              <w:top w:val="single" w:sz="4" w:space="0" w:color="3366FF"/>
              <w:left w:val="single" w:sz="4" w:space="0" w:color="3366FF"/>
              <w:bottom w:val="single" w:sz="4" w:space="0" w:color="3366FF"/>
              <w:right w:val="single" w:sz="4" w:space="0" w:color="3366FF"/>
            </w:tcBorders>
          </w:tcPr>
          <w:p>
            <w:pPr>
              <w:pStyle w:val="TableParagraph"/>
              <w:rPr>
                <w:sz w:val="24"/>
              </w:rPr>
            </w:pPr>
          </w:p>
          <w:p>
            <w:pPr>
              <w:pStyle w:val="TableParagraph"/>
              <w:rPr>
                <w:sz w:val="24"/>
              </w:rPr>
            </w:pPr>
          </w:p>
          <w:p>
            <w:pPr>
              <w:pStyle w:val="TableParagraph"/>
              <w:spacing w:before="10"/>
              <w:rPr>
                <w:sz w:val="33"/>
              </w:rPr>
            </w:pPr>
          </w:p>
          <w:p>
            <w:pPr>
              <w:pStyle w:val="TableParagraph"/>
              <w:ind w:left="64"/>
              <w:rPr>
                <w:sz w:val="22"/>
              </w:rPr>
            </w:pPr>
            <w:r>
              <w:rPr>
                <w:w w:val="95"/>
                <w:sz w:val="22"/>
              </w:rPr>
              <w:t>ML.A.202 (a)</w:t>
            </w:r>
          </w:p>
        </w:tc>
        <w:tc>
          <w:tcPr>
            <w:tcW w:w="4800" w:type="dxa"/>
            <w:tcBorders>
              <w:top w:val="single" w:sz="4" w:space="0" w:color="3366FF"/>
              <w:left w:val="single" w:sz="4" w:space="0" w:color="3366FF"/>
              <w:bottom w:val="single" w:sz="4" w:space="0" w:color="3366FF"/>
              <w:right w:val="single" w:sz="4" w:space="0" w:color="3366FF"/>
            </w:tcBorders>
          </w:tcPr>
          <w:p>
            <w:pPr>
              <w:pStyle w:val="TableParagraph"/>
              <w:spacing w:line="254" w:lineRule="auto" w:before="1"/>
              <w:ind w:left="64" w:right="131"/>
              <w:rPr>
                <w:sz w:val="22"/>
              </w:rPr>
            </w:pPr>
            <w:r>
              <w:rPr>
                <w:sz w:val="22"/>
              </w:rPr>
              <w:t>Kuruluş; hava aracında veya bileşenlerinde tespit edilen ve uçuş emniyetini tehlikeye düşürebilecek olay, arıza veya emniyetsiz durumları SHT-olay ve SHT-cam Talimatı doğrultusunda Genel Müdürlüğe ve gerektiğinde tip tasarım kuruluşuna zamanında bildirdiğini gösterebiliyor mu? Motor/pervane ile ilgili olaylarda ilgili tip tasarım kuruluşuna da</w:t>
            </w:r>
          </w:p>
          <w:p>
            <w:pPr>
              <w:pStyle w:val="TableParagraph"/>
              <w:spacing w:line="248" w:lineRule="exact" w:before="1"/>
              <w:ind w:left="64"/>
              <w:rPr>
                <w:sz w:val="22"/>
              </w:rPr>
            </w:pPr>
            <w:r>
              <w:rPr>
                <w:sz w:val="22"/>
              </w:rPr>
              <w:t>bildirim yapıldığına ilişkin kayıtlar mevcut mudur?</w:t>
            </w:r>
          </w:p>
        </w:tc>
        <w:tc>
          <w:tcPr>
            <w:tcW w:w="49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2"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504"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87"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18"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46" w:type="dxa"/>
            <w:tcBorders>
              <w:top w:val="single" w:sz="4" w:space="0" w:color="3366FF"/>
              <w:left w:val="single" w:sz="4" w:space="0" w:color="3366FF"/>
              <w:bottom w:val="single" w:sz="4" w:space="0" w:color="3366FF"/>
              <w:right w:val="single" w:sz="4" w:space="0" w:color="3366FF"/>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bl>
    <w:p>
      <w:pPr>
        <w:spacing w:after="0"/>
        <w:rPr>
          <w:sz w:val="22"/>
        </w:rPr>
        <w:sectPr>
          <w:pgSz w:w="16840" w:h="11910" w:orient="landscape"/>
          <w:pgMar w:header="991" w:footer="647" w:top="1980" w:bottom="840" w:left="160" w:right="4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1"/>
        </w:rPr>
      </w:pPr>
    </w:p>
    <w:tbl>
      <w:tblPr>
        <w:tblW w:w="0" w:type="auto"/>
        <w:jc w:val="left"/>
        <w:tblInd w:w="118" w:type="dxa"/>
        <w:tblBorders>
          <w:top w:val="single" w:sz="4" w:space="0" w:color="3366FF"/>
          <w:left w:val="single" w:sz="4" w:space="0" w:color="3366FF"/>
          <w:bottom w:val="single" w:sz="4" w:space="0" w:color="3366FF"/>
          <w:right w:val="single" w:sz="4" w:space="0" w:color="3366FF"/>
          <w:insideH w:val="single" w:sz="4" w:space="0" w:color="3366FF"/>
          <w:insideV w:val="single" w:sz="4" w:space="0" w:color="3366FF"/>
        </w:tblBorders>
        <w:tblLayout w:type="fixed"/>
        <w:tblCellMar>
          <w:top w:w="0" w:type="dxa"/>
          <w:left w:w="0" w:type="dxa"/>
          <w:bottom w:w="0" w:type="dxa"/>
          <w:right w:w="0" w:type="dxa"/>
        </w:tblCellMar>
        <w:tblLook w:val="01E0"/>
      </w:tblPr>
      <w:tblGrid>
        <w:gridCol w:w="1560"/>
        <w:gridCol w:w="1843"/>
        <w:gridCol w:w="4800"/>
        <w:gridCol w:w="497"/>
        <w:gridCol w:w="492"/>
        <w:gridCol w:w="504"/>
        <w:gridCol w:w="487"/>
        <w:gridCol w:w="418"/>
        <w:gridCol w:w="446"/>
        <w:gridCol w:w="4970"/>
      </w:tblGrid>
      <w:tr>
        <w:trPr>
          <w:trHeight w:val="3220" w:hRule="atLeast"/>
        </w:trPr>
        <w:tc>
          <w:tcPr>
            <w:tcW w:w="1560" w:type="dxa"/>
            <w:tcBorders>
              <w:top w:val="nil"/>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7"/>
              <w:rPr>
                <w:sz w:val="32"/>
              </w:rPr>
            </w:pPr>
          </w:p>
          <w:p>
            <w:pPr>
              <w:pStyle w:val="TableParagraph"/>
              <w:ind w:left="489"/>
              <w:rPr>
                <w:sz w:val="22"/>
              </w:rPr>
            </w:pPr>
            <w:r>
              <w:rPr>
                <w:w w:val="95"/>
                <w:sz w:val="22"/>
              </w:rPr>
              <w:t>AAD-1</w:t>
            </w:r>
          </w:p>
        </w:tc>
        <w:tc>
          <w:tcPr>
            <w:tcW w:w="1843" w:type="dxa"/>
            <w:tcBorders>
              <w:top w:val="nil"/>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7"/>
              <w:rPr>
                <w:sz w:val="32"/>
              </w:rPr>
            </w:pPr>
          </w:p>
          <w:p>
            <w:pPr>
              <w:pStyle w:val="TableParagraph"/>
              <w:ind w:left="63"/>
              <w:rPr>
                <w:sz w:val="22"/>
              </w:rPr>
            </w:pPr>
            <w:r>
              <w:rPr>
                <w:w w:val="95"/>
                <w:sz w:val="22"/>
              </w:rPr>
              <w:t>ML.A.202 (a)</w:t>
            </w:r>
          </w:p>
        </w:tc>
        <w:tc>
          <w:tcPr>
            <w:tcW w:w="4800" w:type="dxa"/>
            <w:tcBorders>
              <w:top w:val="nil"/>
            </w:tcBorders>
          </w:tcPr>
          <w:p>
            <w:pPr>
              <w:pStyle w:val="TableParagraph"/>
              <w:numPr>
                <w:ilvl w:val="0"/>
                <w:numId w:val="8"/>
              </w:numPr>
              <w:tabs>
                <w:tab w:pos="225" w:val="left" w:leader="none"/>
              </w:tabs>
              <w:spacing w:line="240" w:lineRule="auto" w:before="1" w:after="0"/>
              <w:ind w:left="64" w:right="0" w:firstLine="0"/>
              <w:jc w:val="left"/>
              <w:rPr>
                <w:sz w:val="22"/>
              </w:rPr>
            </w:pPr>
            <w:r>
              <w:rPr>
                <w:w w:val="95"/>
                <w:sz w:val="22"/>
              </w:rPr>
              <w:t>SHT-CAM kapsamında  gönderilmiş</w:t>
            </w:r>
            <w:r>
              <w:rPr>
                <w:spacing w:val="22"/>
                <w:w w:val="95"/>
                <w:sz w:val="22"/>
              </w:rPr>
              <w:t> </w:t>
            </w:r>
            <w:r>
              <w:rPr>
                <w:w w:val="95"/>
                <w:sz w:val="22"/>
              </w:rPr>
              <w:t>raporlar</w:t>
            </w:r>
          </w:p>
          <w:p>
            <w:pPr>
              <w:pStyle w:val="TableParagraph"/>
              <w:numPr>
                <w:ilvl w:val="0"/>
                <w:numId w:val="8"/>
              </w:numPr>
              <w:tabs>
                <w:tab w:pos="225" w:val="left" w:leader="none"/>
              </w:tabs>
              <w:spacing w:line="240" w:lineRule="auto" w:before="16" w:after="0"/>
              <w:ind w:left="64" w:right="0" w:firstLine="0"/>
              <w:jc w:val="left"/>
              <w:rPr>
                <w:sz w:val="22"/>
              </w:rPr>
            </w:pPr>
            <w:r>
              <w:rPr>
                <w:w w:val="95"/>
                <w:sz w:val="22"/>
              </w:rPr>
              <w:t>SHGM’ye yapılan bildirim</w:t>
            </w:r>
            <w:r>
              <w:rPr>
                <w:spacing w:val="-3"/>
                <w:w w:val="95"/>
                <w:sz w:val="22"/>
              </w:rPr>
              <w:t> </w:t>
            </w:r>
            <w:r>
              <w:rPr>
                <w:w w:val="95"/>
                <w:sz w:val="22"/>
              </w:rPr>
              <w:t>kayıtları</w:t>
            </w:r>
          </w:p>
          <w:p>
            <w:pPr>
              <w:pStyle w:val="TableParagraph"/>
              <w:numPr>
                <w:ilvl w:val="0"/>
                <w:numId w:val="8"/>
              </w:numPr>
              <w:tabs>
                <w:tab w:pos="225" w:val="left" w:leader="none"/>
              </w:tabs>
              <w:spacing w:line="254" w:lineRule="auto" w:before="16" w:after="0"/>
              <w:ind w:left="64" w:right="346" w:firstLine="0"/>
              <w:jc w:val="left"/>
              <w:rPr>
                <w:sz w:val="22"/>
              </w:rPr>
            </w:pPr>
            <w:r>
              <w:rPr>
                <w:w w:val="95"/>
                <w:sz w:val="22"/>
              </w:rPr>
              <w:t>Tip Tasarım Kuruluşuna (TC Holder/STC</w:t>
            </w:r>
            <w:r>
              <w:rPr>
                <w:spacing w:val="-14"/>
                <w:w w:val="95"/>
                <w:sz w:val="22"/>
              </w:rPr>
              <w:t> </w:t>
            </w:r>
            <w:r>
              <w:rPr>
                <w:w w:val="95"/>
                <w:sz w:val="22"/>
              </w:rPr>
              <w:t>Holder) </w:t>
            </w:r>
            <w:r>
              <w:rPr>
                <w:sz w:val="22"/>
              </w:rPr>
              <w:t>gönderilen</w:t>
            </w:r>
            <w:r>
              <w:rPr>
                <w:spacing w:val="-6"/>
                <w:sz w:val="22"/>
              </w:rPr>
              <w:t> </w:t>
            </w:r>
            <w:r>
              <w:rPr>
                <w:sz w:val="22"/>
              </w:rPr>
              <w:t>bildirimler</w:t>
            </w:r>
          </w:p>
          <w:p>
            <w:pPr>
              <w:pStyle w:val="TableParagraph"/>
              <w:numPr>
                <w:ilvl w:val="0"/>
                <w:numId w:val="8"/>
              </w:numPr>
              <w:tabs>
                <w:tab w:pos="225" w:val="left" w:leader="none"/>
              </w:tabs>
              <w:spacing w:line="254" w:lineRule="auto" w:before="1" w:after="0"/>
              <w:ind w:left="64" w:right="770" w:firstLine="0"/>
              <w:jc w:val="left"/>
              <w:rPr>
                <w:sz w:val="22"/>
              </w:rPr>
            </w:pPr>
            <w:r>
              <w:rPr>
                <w:sz w:val="22"/>
              </w:rPr>
              <w:t>Motor/Pervane üreticisine yapılan bildirim kayıtları</w:t>
            </w:r>
            <w:r>
              <w:rPr>
                <w:spacing w:val="-33"/>
                <w:sz w:val="22"/>
              </w:rPr>
              <w:t> </w:t>
            </w:r>
            <w:r>
              <w:rPr>
                <w:sz w:val="22"/>
              </w:rPr>
              <w:t>(varsa)</w:t>
            </w:r>
          </w:p>
          <w:p>
            <w:pPr>
              <w:pStyle w:val="TableParagraph"/>
              <w:numPr>
                <w:ilvl w:val="0"/>
                <w:numId w:val="8"/>
              </w:numPr>
              <w:tabs>
                <w:tab w:pos="225" w:val="left" w:leader="none"/>
              </w:tabs>
              <w:spacing w:line="252" w:lineRule="auto" w:before="1" w:after="0"/>
              <w:ind w:left="64" w:right="297" w:firstLine="0"/>
              <w:jc w:val="left"/>
              <w:rPr>
                <w:sz w:val="22"/>
              </w:rPr>
            </w:pPr>
            <w:r>
              <w:rPr>
                <w:sz w:val="22"/>
              </w:rPr>
              <w:t>E-posta</w:t>
            </w:r>
            <w:r>
              <w:rPr>
                <w:spacing w:val="-13"/>
                <w:sz w:val="22"/>
              </w:rPr>
              <w:t> </w:t>
            </w:r>
            <w:r>
              <w:rPr>
                <w:sz w:val="22"/>
              </w:rPr>
              <w:t>kayıtları</w:t>
            </w:r>
            <w:r>
              <w:rPr>
                <w:spacing w:val="-15"/>
                <w:sz w:val="22"/>
              </w:rPr>
              <w:t> </w:t>
            </w:r>
            <w:r>
              <w:rPr>
                <w:sz w:val="22"/>
              </w:rPr>
              <w:t>veya</w:t>
            </w:r>
            <w:r>
              <w:rPr>
                <w:spacing w:val="-14"/>
                <w:sz w:val="22"/>
              </w:rPr>
              <w:t> </w:t>
            </w:r>
            <w:r>
              <w:rPr>
                <w:sz w:val="22"/>
              </w:rPr>
              <w:t>elektronik</w:t>
            </w:r>
            <w:r>
              <w:rPr>
                <w:spacing w:val="-14"/>
                <w:sz w:val="22"/>
              </w:rPr>
              <w:t> </w:t>
            </w:r>
            <w:r>
              <w:rPr>
                <w:sz w:val="22"/>
              </w:rPr>
              <w:t>bildirim</w:t>
            </w:r>
            <w:r>
              <w:rPr>
                <w:spacing w:val="-12"/>
                <w:sz w:val="22"/>
              </w:rPr>
              <w:t> </w:t>
            </w:r>
            <w:r>
              <w:rPr>
                <w:sz w:val="22"/>
              </w:rPr>
              <w:t>sistemi kayıtları</w:t>
            </w:r>
          </w:p>
          <w:p>
            <w:pPr>
              <w:pStyle w:val="TableParagraph"/>
              <w:numPr>
                <w:ilvl w:val="0"/>
                <w:numId w:val="8"/>
              </w:numPr>
              <w:tabs>
                <w:tab w:pos="225" w:val="left" w:leader="none"/>
              </w:tabs>
              <w:spacing w:line="240" w:lineRule="auto" w:before="3" w:after="0"/>
              <w:ind w:left="64" w:right="0" w:firstLine="0"/>
              <w:jc w:val="left"/>
              <w:rPr>
                <w:sz w:val="22"/>
              </w:rPr>
            </w:pPr>
            <w:r>
              <w:rPr>
                <w:sz w:val="22"/>
              </w:rPr>
              <w:t>Düzeltici</w:t>
            </w:r>
            <w:r>
              <w:rPr>
                <w:spacing w:val="-33"/>
                <w:sz w:val="22"/>
              </w:rPr>
              <w:t> </w:t>
            </w:r>
            <w:r>
              <w:rPr>
                <w:sz w:val="22"/>
              </w:rPr>
              <w:t>faaliyet</w:t>
            </w:r>
            <w:r>
              <w:rPr>
                <w:spacing w:val="-33"/>
                <w:sz w:val="22"/>
              </w:rPr>
              <w:t> </w:t>
            </w:r>
            <w:r>
              <w:rPr>
                <w:sz w:val="22"/>
              </w:rPr>
              <w:t>(Corrective</w:t>
            </w:r>
            <w:r>
              <w:rPr>
                <w:spacing w:val="-32"/>
                <w:sz w:val="22"/>
              </w:rPr>
              <w:t> </w:t>
            </w:r>
            <w:r>
              <w:rPr>
                <w:sz w:val="22"/>
              </w:rPr>
              <w:t>Action)</w:t>
            </w:r>
            <w:r>
              <w:rPr>
                <w:spacing w:val="-33"/>
                <w:sz w:val="22"/>
              </w:rPr>
              <w:t> </w:t>
            </w:r>
            <w:r>
              <w:rPr>
                <w:sz w:val="22"/>
              </w:rPr>
              <w:t>kayıtları</w:t>
            </w:r>
          </w:p>
          <w:p>
            <w:pPr>
              <w:pStyle w:val="TableParagraph"/>
              <w:numPr>
                <w:ilvl w:val="0"/>
                <w:numId w:val="8"/>
              </w:numPr>
              <w:tabs>
                <w:tab w:pos="225" w:val="left" w:leader="none"/>
              </w:tabs>
              <w:spacing w:line="240" w:lineRule="auto" w:before="15" w:after="0"/>
              <w:ind w:left="64" w:right="0" w:firstLine="0"/>
              <w:jc w:val="left"/>
              <w:rPr>
                <w:sz w:val="22"/>
              </w:rPr>
            </w:pPr>
            <w:r>
              <w:rPr>
                <w:sz w:val="22"/>
              </w:rPr>
              <w:t>SMS/Occurrence</w:t>
            </w:r>
            <w:r>
              <w:rPr>
                <w:spacing w:val="-26"/>
                <w:sz w:val="22"/>
              </w:rPr>
              <w:t> </w:t>
            </w:r>
            <w:r>
              <w:rPr>
                <w:sz w:val="22"/>
              </w:rPr>
              <w:t>Reporting</w:t>
            </w:r>
            <w:r>
              <w:rPr>
                <w:spacing w:val="-26"/>
                <w:sz w:val="22"/>
              </w:rPr>
              <w:t> </w:t>
            </w:r>
            <w:r>
              <w:rPr>
                <w:sz w:val="22"/>
              </w:rPr>
              <w:t>kayıtları</w:t>
            </w:r>
          </w:p>
          <w:p>
            <w:pPr>
              <w:pStyle w:val="TableParagraph"/>
              <w:numPr>
                <w:ilvl w:val="0"/>
                <w:numId w:val="8"/>
              </w:numPr>
              <w:tabs>
                <w:tab w:pos="225" w:val="left" w:leader="none"/>
              </w:tabs>
              <w:spacing w:line="270" w:lineRule="atLeast" w:before="0" w:after="0"/>
              <w:ind w:left="64" w:right="767" w:firstLine="0"/>
              <w:jc w:val="left"/>
              <w:rPr>
                <w:sz w:val="22"/>
              </w:rPr>
            </w:pPr>
            <w:r>
              <w:rPr>
                <w:sz w:val="22"/>
              </w:rPr>
              <w:t>Personelin olay bildirimi konusunda</w:t>
            </w:r>
            <w:r>
              <w:rPr>
                <w:spacing w:val="-30"/>
                <w:sz w:val="22"/>
              </w:rPr>
              <w:t> </w:t>
            </w:r>
            <w:r>
              <w:rPr>
                <w:sz w:val="22"/>
              </w:rPr>
              <w:t>eğitim kayıtları</w:t>
            </w:r>
          </w:p>
        </w:tc>
        <w:tc>
          <w:tcPr>
            <w:tcW w:w="497" w:type="dxa"/>
            <w:tcBorders>
              <w:top w:val="nil"/>
            </w:tcBorders>
          </w:tcPr>
          <w:p>
            <w:pPr>
              <w:pStyle w:val="TableParagraph"/>
              <w:rPr>
                <w:sz w:val="22"/>
              </w:rPr>
            </w:pPr>
          </w:p>
        </w:tc>
        <w:tc>
          <w:tcPr>
            <w:tcW w:w="492" w:type="dxa"/>
            <w:tcBorders>
              <w:top w:val="nil"/>
            </w:tcBorders>
          </w:tcPr>
          <w:p>
            <w:pPr>
              <w:pStyle w:val="TableParagraph"/>
              <w:rPr>
                <w:sz w:val="22"/>
              </w:rPr>
            </w:pPr>
          </w:p>
        </w:tc>
        <w:tc>
          <w:tcPr>
            <w:tcW w:w="504" w:type="dxa"/>
            <w:tcBorders>
              <w:top w:val="nil"/>
            </w:tcBorders>
          </w:tcPr>
          <w:p>
            <w:pPr>
              <w:pStyle w:val="TableParagraph"/>
              <w:rPr>
                <w:sz w:val="22"/>
              </w:rPr>
            </w:pPr>
          </w:p>
        </w:tc>
        <w:tc>
          <w:tcPr>
            <w:tcW w:w="487" w:type="dxa"/>
            <w:tcBorders>
              <w:top w:val="nil"/>
            </w:tcBorders>
          </w:tcPr>
          <w:p>
            <w:pPr>
              <w:pStyle w:val="TableParagraph"/>
              <w:rPr>
                <w:sz w:val="22"/>
              </w:rPr>
            </w:pPr>
          </w:p>
        </w:tc>
        <w:tc>
          <w:tcPr>
            <w:tcW w:w="418" w:type="dxa"/>
            <w:tcBorders>
              <w:top w:val="nil"/>
            </w:tcBorders>
          </w:tcPr>
          <w:p>
            <w:pPr>
              <w:pStyle w:val="TableParagraph"/>
              <w:rPr>
                <w:sz w:val="22"/>
              </w:rPr>
            </w:pPr>
          </w:p>
        </w:tc>
        <w:tc>
          <w:tcPr>
            <w:tcW w:w="446" w:type="dxa"/>
            <w:tcBorders>
              <w:top w:val="nil"/>
            </w:tcBorders>
          </w:tcPr>
          <w:p>
            <w:pPr>
              <w:pStyle w:val="TableParagraph"/>
              <w:rPr>
                <w:sz w:val="22"/>
              </w:rPr>
            </w:pPr>
          </w:p>
        </w:tc>
        <w:tc>
          <w:tcPr>
            <w:tcW w:w="4970" w:type="dxa"/>
            <w:tcBorders>
              <w:top w:val="nil"/>
              <w:left w:val="nil"/>
              <w:bottom w:val="nil"/>
              <w:right w:val="nil"/>
            </w:tcBorders>
            <w:shd w:val="clear" w:color="auto" w:fill="3366FF"/>
          </w:tcPr>
          <w:p>
            <w:pPr>
              <w:pStyle w:val="TableParagraph"/>
              <w:rPr>
                <w:sz w:val="22"/>
              </w:rPr>
            </w:pPr>
          </w:p>
        </w:tc>
      </w:tr>
    </w:tbl>
    <w:sectPr>
      <w:pgSz w:w="16840" w:h="11910" w:orient="landscape"/>
      <w:pgMar w:header="991" w:footer="647" w:top="1980" w:bottom="840" w:left="16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A2"/>
    <w:family w:val="roman"/>
    <w:pitch w:val="variable"/>
  </w:font>
  <w:font w:name="Calibri">
    <w:altName w:val="Calibri"/>
    <w:charset w:val="A2"/>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90.718018pt;margin-top:551.980896pt;width:24.75pt;height:12.3pt;mso-position-horizontal-relative:page;mso-position-vertical-relative:page;z-index:-138784" type="#_x0000_t202" filled="false" stroked="false">
          <v:textbox inset="0,0,0,0">
            <w:txbxContent>
              <w:p>
                <w:pPr>
                  <w:spacing w:before="9"/>
                  <w:ind w:left="40" w:right="0" w:firstLine="0"/>
                  <w:jc w:val="left"/>
                  <w:rPr>
                    <w:rFonts w:ascii="Calibri"/>
                    <w:sz w:val="18"/>
                  </w:rPr>
                </w:pPr>
                <w:r>
                  <w:rPr/>
                  <w:fldChar w:fldCharType="begin"/>
                </w:r>
                <w:r>
                  <w:rPr>
                    <w:color w:val="808080"/>
                    <w:w w:val="105"/>
                    <w:sz w:val="18"/>
                  </w:rPr>
                  <w:instrText> PAGE </w:instrText>
                </w:r>
                <w:r>
                  <w:rPr/>
                  <w:fldChar w:fldCharType="separate"/>
                </w:r>
                <w:r>
                  <w:rPr/>
                  <w:t>10</w:t>
                </w:r>
                <w:r>
                  <w:rPr/>
                  <w:fldChar w:fldCharType="end"/>
                </w:r>
                <w:r>
                  <w:rPr>
                    <w:color w:val="808080"/>
                    <w:w w:val="105"/>
                    <w:sz w:val="18"/>
                  </w:rPr>
                  <w:t>/</w:t>
                </w:r>
                <w:r>
                  <w:rPr>
                    <w:rFonts w:ascii="Calibri"/>
                    <w:color w:val="808080"/>
                    <w:w w:val="105"/>
                    <w:sz w:val="18"/>
                  </w:rPr>
                  <w:t>30</w:t>
                </w:r>
              </w:p>
            </w:txbxContent>
          </v:textbox>
          <w10:wrap type="none"/>
        </v:shape>
      </w:pict>
    </w:r>
    <w:r>
      <w:rPr/>
      <w:pict>
        <v:shape style="position:absolute;margin-left:52.957947pt;margin-top:570.202759pt;width:191.3pt;height:14.25pt;mso-position-horizontal-relative:page;mso-position-vertical-relative:page;z-index:-138760" type="#_x0000_t202" filled="false" stroked="false">
          <v:textbox inset="0,0,0,0">
            <w:txbxContent>
              <w:p>
                <w:pPr>
                  <w:pStyle w:val="BodyText"/>
                  <w:spacing w:before="11"/>
                  <w:ind w:left="20"/>
                </w:pPr>
                <w:r>
                  <w:rPr>
                    <w:w w:val="95"/>
                  </w:rPr>
                  <w:t>Doküman No: SHGM.UED.48082085.FR.66</w:t>
                </w:r>
              </w:p>
            </w:txbxContent>
          </v:textbox>
          <w10:wrap type="none"/>
        </v:shape>
      </w:pict>
    </w:r>
    <w:r>
      <w:rPr/>
      <w:pict>
        <v:shape style="position:absolute;margin-left:341.78595pt;margin-top:570.202759pt;width:123.3pt;height:14.25pt;mso-position-horizontal-relative:page;mso-position-vertical-relative:page;z-index:-138736" type="#_x0000_t202" filled="false" stroked="false">
          <v:textbox inset="0,0,0,0">
            <w:txbxContent>
              <w:p>
                <w:pPr>
                  <w:pStyle w:val="BodyText"/>
                  <w:spacing w:before="11"/>
                  <w:ind w:left="20"/>
                </w:pPr>
                <w:r>
                  <w:rPr>
                    <w:w w:val="95"/>
                  </w:rPr>
                  <w:t>Yürürlük  Tarihi: 18.03.2024</w:t>
                </w:r>
              </w:p>
            </w:txbxContent>
          </v:textbox>
          <w10:wrap type="none"/>
        </v:shape>
      </w:pict>
    </w:r>
    <w:r>
      <w:rPr/>
      <w:pict>
        <v:shape style="position:absolute;margin-left:629.785828pt;margin-top:570.203003pt;width:155.8pt;height:14.6pt;mso-position-horizontal-relative:page;mso-position-vertical-relative:page;z-index:-138712" type="#_x0000_t202" filled="false" stroked="false">
          <v:textbox inset="0,0,0,0">
            <w:txbxContent>
              <w:p>
                <w:pPr>
                  <w:pStyle w:val="BodyText"/>
                  <w:spacing w:before="7"/>
                  <w:ind w:left="20"/>
                  <w:rPr>
                    <w:rFonts w:ascii="Calibri"/>
                  </w:rPr>
                </w:pPr>
                <w:r>
                  <w:rPr/>
                  <w:t>Revizyon</w:t>
                </w:r>
                <w:r>
                  <w:rPr>
                    <w:spacing w:val="-30"/>
                  </w:rPr>
                  <w:t> </w:t>
                </w:r>
                <w:r>
                  <w:rPr/>
                  <w:t>No/Tarih:</w:t>
                </w:r>
                <w:r>
                  <w:rPr>
                    <w:spacing w:val="-29"/>
                  </w:rPr>
                  <w:t> </w:t>
                </w:r>
                <w:r>
                  <w:rPr>
                    <w:rFonts w:ascii="Calibri"/>
                  </w:rPr>
                  <w:t>01/27.07.2026</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296551">
          <wp:simplePos x="0" y="0"/>
          <wp:positionH relativeFrom="page">
            <wp:posOffset>323088</wp:posOffset>
          </wp:positionH>
          <wp:positionV relativeFrom="page">
            <wp:posOffset>856488</wp:posOffset>
          </wp:positionV>
          <wp:extent cx="755903" cy="405383"/>
          <wp:effectExtent l="0" t="0" r="0" b="0"/>
          <wp:wrapNone/>
          <wp:docPr id="1" name="image1.jpeg" descr=""/>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755903" cy="405383"/>
                  </a:xfrm>
                  <a:prstGeom prst="rect">
                    <a:avLst/>
                  </a:prstGeom>
                </pic:spPr>
              </pic:pic>
            </a:graphicData>
          </a:graphic>
        </wp:anchor>
      </w:drawing>
    </w:r>
    <w:r>
      <w:rPr/>
      <w:pict>
        <v:group style="position:absolute;margin-left:91.68pt;margin-top:68.879997pt;width:723.85pt;height:30.5pt;mso-position-horizontal-relative:page;mso-position-vertical-relative:page;z-index:-138880" coordorigin="1834,1378" coordsize="14477,610">
          <v:line style="position:absolute" from="1838,1382" to="16306,1382" stroked="true" strokeweight=".48pt" strokecolor="#3366ff">
            <v:stroke dashstyle="solid"/>
          </v:line>
          <v:line style="position:absolute" from="1843,1387" to="1843,1687" stroked="true" strokeweight=".48pt" strokecolor="#3366ff">
            <v:stroke dashstyle="solid"/>
          </v:line>
          <v:line style="position:absolute" from="1843,1687" to="1843,1978" stroked="true" strokeweight=".48pt" strokecolor="#2d74b5">
            <v:stroke dashstyle="solid"/>
          </v:line>
          <v:line style="position:absolute" from="10884,1387" to="10884,1978" stroked="true" strokeweight=".48pt" strokecolor="#2d74b5">
            <v:stroke dashstyle="solid"/>
          </v:line>
          <v:line style="position:absolute" from="16301,1387" to="16301,1978" stroked="true" strokeweight=".48pt" strokecolor="#2d74b5">
            <v:stroke dashstyle="solid"/>
          </v:line>
          <v:line style="position:absolute" from="1838,1982" to="16306,1982" stroked="true" strokeweight=".48pt" strokecolor="#2d74b5">
            <v:stroke dashstyle="solid"/>
          </v:line>
          <w10:wrap type="none"/>
        </v:group>
      </w:pict>
    </w:r>
    <w:r>
      <w:rPr/>
      <w:pict>
        <v:shapetype id="_x0000_t202" o:spt="202" coordsize="21600,21600" path="m,l,21600r21600,l21600,xe">
          <v:stroke joinstyle="miter"/>
          <v:path gradientshapeok="t" o:connecttype="rect"/>
        </v:shapetype>
        <v:shape style="position:absolute;margin-left:94.639999pt;margin-top:48.562786pt;width:146.7pt;height:14.25pt;mso-position-horizontal-relative:page;mso-position-vertical-relative:page;z-index:-138856" type="#_x0000_t202" filled="false" stroked="false">
          <v:textbox inset="0,0,0,0">
            <w:txbxContent>
              <w:p>
                <w:pPr>
                  <w:pStyle w:val="BodyText"/>
                  <w:spacing w:before="11"/>
                  <w:ind w:left="20"/>
                </w:pPr>
                <w:r>
                  <w:rPr/>
                  <w:t>Sivil</w:t>
                </w:r>
                <w:r>
                  <w:rPr>
                    <w:spacing w:val="-21"/>
                  </w:rPr>
                  <w:t> </w:t>
                </w:r>
                <w:r>
                  <w:rPr/>
                  <w:t>Havacılık</w:t>
                </w:r>
                <w:r>
                  <w:rPr>
                    <w:spacing w:val="-24"/>
                  </w:rPr>
                  <w:t> </w:t>
                </w:r>
                <w:r>
                  <w:rPr/>
                  <w:t>Genel</w:t>
                </w:r>
                <w:r>
                  <w:rPr>
                    <w:spacing w:val="-24"/>
                  </w:rPr>
                  <w:t> </w:t>
                </w:r>
                <w:r>
                  <w:rPr/>
                  <w:t>Müdürlüğü</w:t>
                </w:r>
              </w:p>
            </w:txbxContent>
          </v:textbox>
          <w10:wrap type="none"/>
        </v:shape>
      </w:pict>
    </w:r>
    <w:r>
      <w:rPr/>
      <w:pict>
        <v:shape style="position:absolute;margin-left:651.919983pt;margin-top:70.162117pt;width:55.6pt;height:28.05pt;mso-position-horizontal-relative:page;mso-position-vertical-relative:page;z-index:-138832" type="#_x0000_t202" filled="false" stroked="false">
          <v:textbox inset="0,0,0,0">
            <w:txbxContent>
              <w:p>
                <w:pPr>
                  <w:pStyle w:val="BodyText"/>
                  <w:spacing w:before="7"/>
                  <w:ind w:left="20"/>
                  <w:rPr>
                    <w:rFonts w:ascii="Calibri"/>
                  </w:rPr>
                </w:pPr>
                <w:r>
                  <w:rPr>
                    <w:w w:val="95"/>
                  </w:rPr>
                  <w:t>Revizyon </w:t>
                </w:r>
                <w:r>
                  <w:rPr>
                    <w:rFonts w:ascii="Calibri"/>
                    <w:w w:val="95"/>
                  </w:rPr>
                  <w:t>01</w:t>
                </w:r>
              </w:p>
              <w:p>
                <w:pPr>
                  <w:pStyle w:val="BodyText"/>
                  <w:ind w:left="53"/>
                  <w:rPr>
                    <w:rFonts w:ascii="Calibri"/>
                  </w:rPr>
                </w:pPr>
                <w:r>
                  <w:rPr>
                    <w:rFonts w:ascii="Calibri"/>
                  </w:rPr>
                  <w:t>27.07.2026</w:t>
                </w:r>
              </w:p>
            </w:txbxContent>
          </v:textbox>
          <w10:wrap type="none"/>
        </v:shape>
      </w:pict>
    </w:r>
    <w:r>
      <w:rPr/>
      <w:pict>
        <v:shape style="position:absolute;margin-left:254.119995pt;margin-top:76.882782pt;width:128.2pt;height:14.25pt;mso-position-horizontal-relative:page;mso-position-vertical-relative:page;z-index:-138808" type="#_x0000_t202" filled="false" stroked="false">
          <v:textbox inset="0,0,0,0">
            <w:txbxContent>
              <w:p>
                <w:pPr>
                  <w:pStyle w:val="BodyText"/>
                  <w:spacing w:before="11"/>
                  <w:ind w:left="20"/>
                </w:pPr>
                <w:r>
                  <w:rPr>
                    <w:w w:val="95"/>
                  </w:rPr>
                  <w:t>CAO Denetim Kontrol Listesi</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296767">
          <wp:simplePos x="0" y="0"/>
          <wp:positionH relativeFrom="page">
            <wp:posOffset>323088</wp:posOffset>
          </wp:positionH>
          <wp:positionV relativeFrom="page">
            <wp:posOffset>856488</wp:posOffset>
          </wp:positionV>
          <wp:extent cx="755903" cy="405383"/>
          <wp:effectExtent l="0" t="0" r="0" b="0"/>
          <wp:wrapNone/>
          <wp:docPr id="3" name="image1.jpeg" descr=""/>
          <wp:cNvGraphicFramePr>
            <a:graphicFrameLocks noChangeAspect="1"/>
          </wp:cNvGraphicFramePr>
          <a:graphic>
            <a:graphicData uri="http://schemas.openxmlformats.org/drawingml/2006/picture">
              <pic:pic>
                <pic:nvPicPr>
                  <pic:cNvPr id="4" name="image1.jpeg"/>
                  <pic:cNvPicPr/>
                </pic:nvPicPr>
                <pic:blipFill>
                  <a:blip r:embed="rId1" cstate="print"/>
                  <a:stretch>
                    <a:fillRect/>
                  </a:stretch>
                </pic:blipFill>
                <pic:spPr>
                  <a:xfrm>
                    <a:off x="0" y="0"/>
                    <a:ext cx="755903" cy="405383"/>
                  </a:xfrm>
                  <a:prstGeom prst="rect">
                    <a:avLst/>
                  </a:prstGeom>
                </pic:spPr>
              </pic:pic>
            </a:graphicData>
          </a:graphic>
        </wp:anchor>
      </w:drawing>
    </w:r>
    <w:r>
      <w:rPr/>
      <w:pict>
        <v:group style="position:absolute;margin-left:91.68pt;margin-top:68.879997pt;width:723.85pt;height:30.5pt;mso-position-horizontal-relative:page;mso-position-vertical-relative:page;z-index:-138664" coordorigin="1834,1378" coordsize="14477,610">
          <v:line style="position:absolute" from="1838,1382" to="16306,1382" stroked="true" strokeweight=".48pt" strokecolor="#3366ff">
            <v:stroke dashstyle="solid"/>
          </v:line>
          <v:line style="position:absolute" from="1843,1387" to="1843,1687" stroked="true" strokeweight=".48pt" strokecolor="#3366ff">
            <v:stroke dashstyle="solid"/>
          </v:line>
          <v:line style="position:absolute" from="1843,1687" to="1843,1978" stroked="true" strokeweight=".48pt" strokecolor="#2d74b5">
            <v:stroke dashstyle="solid"/>
          </v:line>
          <v:line style="position:absolute" from="10884,1387" to="10884,1978" stroked="true" strokeweight=".48pt" strokecolor="#2d74b5">
            <v:stroke dashstyle="solid"/>
          </v:line>
          <v:line style="position:absolute" from="16301,1387" to="16301,1978" stroked="true" strokeweight=".48pt" strokecolor="#2d74b5">
            <v:stroke dashstyle="solid"/>
          </v:line>
          <v:line style="position:absolute" from="1838,1982" to="16306,1982" stroked="true" strokeweight=".48pt" strokecolor="#2d74b5">
            <v:stroke dashstyle="solid"/>
          </v:line>
          <w10:wrap type="none"/>
        </v:group>
      </w:pict>
    </w:r>
    <w:r>
      <w:rPr/>
      <w:pict>
        <v:shape style="position:absolute;margin-left:94.639999pt;margin-top:48.562786pt;width:146.7pt;height:14.25pt;mso-position-horizontal-relative:page;mso-position-vertical-relative:page;z-index:-138640" type="#_x0000_t202" filled="false" stroked="false">
          <v:textbox inset="0,0,0,0">
            <w:txbxContent>
              <w:p>
                <w:pPr>
                  <w:pStyle w:val="BodyText"/>
                  <w:spacing w:before="11"/>
                  <w:ind w:left="20"/>
                </w:pPr>
                <w:r>
                  <w:rPr/>
                  <w:t>Sivil</w:t>
                </w:r>
                <w:r>
                  <w:rPr>
                    <w:spacing w:val="-21"/>
                  </w:rPr>
                  <w:t> </w:t>
                </w:r>
                <w:r>
                  <w:rPr/>
                  <w:t>Havacılık</w:t>
                </w:r>
                <w:r>
                  <w:rPr>
                    <w:spacing w:val="-24"/>
                  </w:rPr>
                  <w:t> </w:t>
                </w:r>
                <w:r>
                  <w:rPr/>
                  <w:t>Genel</w:t>
                </w:r>
                <w:r>
                  <w:rPr>
                    <w:spacing w:val="-24"/>
                  </w:rPr>
                  <w:t> </w:t>
                </w:r>
                <w:r>
                  <w:rPr/>
                  <w:t>Müdürlüğü</w:t>
                </w:r>
              </w:p>
            </w:txbxContent>
          </v:textbox>
          <w10:wrap type="none"/>
        </v:shape>
      </w:pict>
    </w:r>
    <w:r>
      <w:rPr/>
      <w:pict>
        <v:shape style="position:absolute;margin-left:651.919983pt;margin-top:70.162117pt;width:55.6pt;height:14.6pt;mso-position-horizontal-relative:page;mso-position-vertical-relative:page;z-index:-138616" type="#_x0000_t202" filled="false" stroked="false">
          <v:textbox inset="0,0,0,0">
            <w:txbxContent>
              <w:p>
                <w:pPr>
                  <w:pStyle w:val="BodyText"/>
                  <w:spacing w:before="7"/>
                  <w:ind w:left="20"/>
                  <w:rPr>
                    <w:rFonts w:ascii="Calibri"/>
                  </w:rPr>
                </w:pPr>
                <w:r>
                  <w:rPr>
                    <w:w w:val="95"/>
                  </w:rPr>
                  <w:t>Revizyon 0</w:t>
                </w:r>
                <w:r>
                  <w:rPr>
                    <w:rFonts w:ascii="Calibri"/>
                    <w:w w:val="95"/>
                  </w:rPr>
                  <w:t>1</w:t>
                </w:r>
              </w:p>
            </w:txbxContent>
          </v:textbox>
          <w10:wrap type="none"/>
        </v:shape>
      </w:pict>
    </w:r>
    <w:r>
      <w:rPr/>
      <w:pict>
        <v:shape style="position:absolute;margin-left:254.119995pt;margin-top:76.882782pt;width:128.2pt;height:14.25pt;mso-position-horizontal-relative:page;mso-position-vertical-relative:page;z-index:-138592" type="#_x0000_t202" filled="false" stroked="false">
          <v:textbox inset="0,0,0,0">
            <w:txbxContent>
              <w:p>
                <w:pPr>
                  <w:pStyle w:val="BodyText"/>
                  <w:spacing w:before="11"/>
                  <w:ind w:left="20"/>
                </w:pPr>
                <w:r>
                  <w:rPr>
                    <w:w w:val="95"/>
                  </w:rPr>
                  <w:t>CAO Denetim Kontrol Listesi</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296887">
          <wp:simplePos x="0" y="0"/>
          <wp:positionH relativeFrom="page">
            <wp:posOffset>323088</wp:posOffset>
          </wp:positionH>
          <wp:positionV relativeFrom="page">
            <wp:posOffset>856488</wp:posOffset>
          </wp:positionV>
          <wp:extent cx="755903" cy="405383"/>
          <wp:effectExtent l="0" t="0" r="0" b="0"/>
          <wp:wrapNone/>
          <wp:docPr id="5" name="image1.jpeg" descr=""/>
          <wp:cNvGraphicFramePr>
            <a:graphicFrameLocks noChangeAspect="1"/>
          </wp:cNvGraphicFramePr>
          <a:graphic>
            <a:graphicData uri="http://schemas.openxmlformats.org/drawingml/2006/picture">
              <pic:pic>
                <pic:nvPicPr>
                  <pic:cNvPr id="6" name="image1.jpeg"/>
                  <pic:cNvPicPr/>
                </pic:nvPicPr>
                <pic:blipFill>
                  <a:blip r:embed="rId1" cstate="print"/>
                  <a:stretch>
                    <a:fillRect/>
                  </a:stretch>
                </pic:blipFill>
                <pic:spPr>
                  <a:xfrm>
                    <a:off x="0" y="0"/>
                    <a:ext cx="755903" cy="405383"/>
                  </a:xfrm>
                  <a:prstGeom prst="rect">
                    <a:avLst/>
                  </a:prstGeom>
                </pic:spPr>
              </pic:pic>
            </a:graphicData>
          </a:graphic>
        </wp:anchor>
      </w:drawing>
    </w:r>
    <w:r>
      <w:rPr/>
      <w:pict>
        <v:group style="position:absolute;margin-left:91.68pt;margin-top:68.879997pt;width:723.85pt;height:30.5pt;mso-position-horizontal-relative:page;mso-position-vertical-relative:page;z-index:-138544" coordorigin="1834,1378" coordsize="14477,610">
          <v:line style="position:absolute" from="1838,1382" to="16306,1382" stroked="true" strokeweight=".48pt" strokecolor="#3366ff">
            <v:stroke dashstyle="solid"/>
          </v:line>
          <v:line style="position:absolute" from="1843,1387" to="1843,1687" stroked="true" strokeweight=".48pt" strokecolor="#3366ff">
            <v:stroke dashstyle="solid"/>
          </v:line>
          <v:line style="position:absolute" from="1843,1687" to="1843,1978" stroked="true" strokeweight=".48pt" strokecolor="#2d74b5">
            <v:stroke dashstyle="solid"/>
          </v:line>
          <v:line style="position:absolute" from="10884,1387" to="10884,1978" stroked="true" strokeweight=".48pt" strokecolor="#2d74b5">
            <v:stroke dashstyle="solid"/>
          </v:line>
          <v:line style="position:absolute" from="16301,1387" to="16301,1978" stroked="true" strokeweight=".48pt" strokecolor="#2d74b5">
            <v:stroke dashstyle="solid"/>
          </v:line>
          <v:line style="position:absolute" from="1838,1982" to="16306,1982" stroked="true" strokeweight=".48pt" strokecolor="#2d74b5">
            <v:stroke dashstyle="solid"/>
          </v:line>
          <w10:wrap type="none"/>
        </v:group>
      </w:pict>
    </w:r>
    <w:r>
      <w:rPr/>
      <w:pict>
        <v:shape style="position:absolute;margin-left:94.639999pt;margin-top:48.562786pt;width:146.7pt;height:14.25pt;mso-position-horizontal-relative:page;mso-position-vertical-relative:page;z-index:-138520" type="#_x0000_t202" filled="false" stroked="false">
          <v:textbox inset="0,0,0,0">
            <w:txbxContent>
              <w:p>
                <w:pPr>
                  <w:pStyle w:val="BodyText"/>
                  <w:spacing w:before="11"/>
                  <w:ind w:left="20"/>
                </w:pPr>
                <w:r>
                  <w:rPr/>
                  <w:t>Sivil</w:t>
                </w:r>
                <w:r>
                  <w:rPr>
                    <w:spacing w:val="-21"/>
                  </w:rPr>
                  <w:t> </w:t>
                </w:r>
                <w:r>
                  <w:rPr/>
                  <w:t>Havacılık</w:t>
                </w:r>
                <w:r>
                  <w:rPr>
                    <w:spacing w:val="-24"/>
                  </w:rPr>
                  <w:t> </w:t>
                </w:r>
                <w:r>
                  <w:rPr/>
                  <w:t>Genel</w:t>
                </w:r>
                <w:r>
                  <w:rPr>
                    <w:spacing w:val="-24"/>
                  </w:rPr>
                  <w:t> </w:t>
                </w:r>
                <w:r>
                  <w:rPr/>
                  <w:t>Müdürlüğü</w:t>
                </w:r>
              </w:p>
            </w:txbxContent>
          </v:textbox>
          <w10:wrap type="none"/>
        </v:shape>
      </w:pict>
    </w:r>
    <w:r>
      <w:rPr/>
      <w:pict>
        <v:shape style="position:absolute;margin-left:651.919983pt;margin-top:70.16301pt;width:55.55pt;height:28.05pt;mso-position-horizontal-relative:page;mso-position-vertical-relative:page;z-index:-138496" type="#_x0000_t202" filled="false" stroked="false">
          <v:textbox inset="0,0,0,0">
            <w:txbxContent>
              <w:p>
                <w:pPr>
                  <w:pStyle w:val="BodyText"/>
                  <w:spacing w:before="7"/>
                  <w:ind w:left="53" w:right="8" w:hanging="34"/>
                  <w:rPr>
                    <w:rFonts w:ascii="Calibri"/>
                  </w:rPr>
                </w:pPr>
                <w:r>
                  <w:rPr>
                    <w:w w:val="95"/>
                  </w:rPr>
                  <w:t>Revizyon 0</w:t>
                </w:r>
                <w:r>
                  <w:rPr>
                    <w:rFonts w:ascii="Calibri"/>
                    <w:w w:val="95"/>
                  </w:rPr>
                  <w:t>1 </w:t>
                </w:r>
                <w:r>
                  <w:rPr>
                    <w:rFonts w:ascii="Calibri"/>
                  </w:rPr>
                  <w:t>27.07.2026</w:t>
                </w:r>
              </w:p>
            </w:txbxContent>
          </v:textbox>
          <w10:wrap type="none"/>
        </v:shape>
      </w:pict>
    </w:r>
    <w:r>
      <w:rPr/>
      <w:pict>
        <v:shape style="position:absolute;margin-left:254.119995pt;margin-top:76.882782pt;width:128.2pt;height:14.25pt;mso-position-horizontal-relative:page;mso-position-vertical-relative:page;z-index:-138472" type="#_x0000_t202" filled="false" stroked="false">
          <v:textbox inset="0,0,0,0">
            <w:txbxContent>
              <w:p>
                <w:pPr>
                  <w:pStyle w:val="BodyText"/>
                  <w:spacing w:before="11"/>
                  <w:ind w:left="20"/>
                </w:pPr>
                <w:r>
                  <w:rPr>
                    <w:w w:val="95"/>
                  </w:rPr>
                  <w:t>CAO Denetim Kontrol Listesi</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0"/>
      <w:numFmt w:val="bullet"/>
      <w:lvlText w:val="*"/>
      <w:lvlJc w:val="left"/>
      <w:pPr>
        <w:ind w:left="64" w:hanging="160"/>
      </w:pPr>
      <w:rPr>
        <w:rFonts w:hint="default" w:ascii="Times New Roman" w:hAnsi="Times New Roman" w:eastAsia="Times New Roman" w:cs="Times New Roman"/>
        <w:w w:val="99"/>
        <w:sz w:val="22"/>
        <w:szCs w:val="22"/>
      </w:rPr>
    </w:lvl>
    <w:lvl w:ilvl="1">
      <w:start w:val="0"/>
      <w:numFmt w:val="bullet"/>
      <w:lvlText w:val="•"/>
      <w:lvlJc w:val="left"/>
      <w:pPr>
        <w:ind w:left="533" w:hanging="160"/>
      </w:pPr>
      <w:rPr>
        <w:rFonts w:hint="default"/>
      </w:rPr>
    </w:lvl>
    <w:lvl w:ilvl="2">
      <w:start w:val="0"/>
      <w:numFmt w:val="bullet"/>
      <w:lvlText w:val="•"/>
      <w:lvlJc w:val="left"/>
      <w:pPr>
        <w:ind w:left="1006" w:hanging="160"/>
      </w:pPr>
      <w:rPr>
        <w:rFonts w:hint="default"/>
      </w:rPr>
    </w:lvl>
    <w:lvl w:ilvl="3">
      <w:start w:val="0"/>
      <w:numFmt w:val="bullet"/>
      <w:lvlText w:val="•"/>
      <w:lvlJc w:val="left"/>
      <w:pPr>
        <w:ind w:left="1479" w:hanging="160"/>
      </w:pPr>
      <w:rPr>
        <w:rFonts w:hint="default"/>
      </w:rPr>
    </w:lvl>
    <w:lvl w:ilvl="4">
      <w:start w:val="0"/>
      <w:numFmt w:val="bullet"/>
      <w:lvlText w:val="•"/>
      <w:lvlJc w:val="left"/>
      <w:pPr>
        <w:ind w:left="1952" w:hanging="160"/>
      </w:pPr>
      <w:rPr>
        <w:rFonts w:hint="default"/>
      </w:rPr>
    </w:lvl>
    <w:lvl w:ilvl="5">
      <w:start w:val="0"/>
      <w:numFmt w:val="bullet"/>
      <w:lvlText w:val="•"/>
      <w:lvlJc w:val="left"/>
      <w:pPr>
        <w:ind w:left="2425" w:hanging="160"/>
      </w:pPr>
      <w:rPr>
        <w:rFonts w:hint="default"/>
      </w:rPr>
    </w:lvl>
    <w:lvl w:ilvl="6">
      <w:start w:val="0"/>
      <w:numFmt w:val="bullet"/>
      <w:lvlText w:val="•"/>
      <w:lvlJc w:val="left"/>
      <w:pPr>
        <w:ind w:left="2898" w:hanging="160"/>
      </w:pPr>
      <w:rPr>
        <w:rFonts w:hint="default"/>
      </w:rPr>
    </w:lvl>
    <w:lvl w:ilvl="7">
      <w:start w:val="0"/>
      <w:numFmt w:val="bullet"/>
      <w:lvlText w:val="•"/>
      <w:lvlJc w:val="left"/>
      <w:pPr>
        <w:ind w:left="3371" w:hanging="160"/>
      </w:pPr>
      <w:rPr>
        <w:rFonts w:hint="default"/>
      </w:rPr>
    </w:lvl>
    <w:lvl w:ilvl="8">
      <w:start w:val="0"/>
      <w:numFmt w:val="bullet"/>
      <w:lvlText w:val="•"/>
      <w:lvlJc w:val="left"/>
      <w:pPr>
        <w:ind w:left="3844" w:hanging="160"/>
      </w:pPr>
      <w:rPr>
        <w:rFonts w:hint="default"/>
      </w:rPr>
    </w:lvl>
  </w:abstractNum>
  <w:abstractNum w:abstractNumId="6">
    <w:multiLevelType w:val="hybridMultilevel"/>
    <w:lvl w:ilvl="0">
      <w:start w:val="1"/>
      <w:numFmt w:val="decimal"/>
      <w:lvlText w:val="(%1)"/>
      <w:lvlJc w:val="left"/>
      <w:pPr>
        <w:ind w:left="64" w:hanging="294"/>
        <w:jc w:val="left"/>
      </w:pPr>
      <w:rPr>
        <w:rFonts w:hint="default" w:ascii="Times New Roman" w:hAnsi="Times New Roman" w:eastAsia="Times New Roman" w:cs="Times New Roman"/>
        <w:w w:val="91"/>
        <w:sz w:val="22"/>
        <w:szCs w:val="22"/>
      </w:rPr>
    </w:lvl>
    <w:lvl w:ilvl="1">
      <w:start w:val="0"/>
      <w:numFmt w:val="bullet"/>
      <w:lvlText w:val="•"/>
      <w:lvlJc w:val="left"/>
      <w:pPr>
        <w:ind w:left="533" w:hanging="294"/>
      </w:pPr>
      <w:rPr>
        <w:rFonts w:hint="default"/>
      </w:rPr>
    </w:lvl>
    <w:lvl w:ilvl="2">
      <w:start w:val="0"/>
      <w:numFmt w:val="bullet"/>
      <w:lvlText w:val="•"/>
      <w:lvlJc w:val="left"/>
      <w:pPr>
        <w:ind w:left="1006" w:hanging="294"/>
      </w:pPr>
      <w:rPr>
        <w:rFonts w:hint="default"/>
      </w:rPr>
    </w:lvl>
    <w:lvl w:ilvl="3">
      <w:start w:val="0"/>
      <w:numFmt w:val="bullet"/>
      <w:lvlText w:val="•"/>
      <w:lvlJc w:val="left"/>
      <w:pPr>
        <w:ind w:left="1479" w:hanging="294"/>
      </w:pPr>
      <w:rPr>
        <w:rFonts w:hint="default"/>
      </w:rPr>
    </w:lvl>
    <w:lvl w:ilvl="4">
      <w:start w:val="0"/>
      <w:numFmt w:val="bullet"/>
      <w:lvlText w:val="•"/>
      <w:lvlJc w:val="left"/>
      <w:pPr>
        <w:ind w:left="1952" w:hanging="294"/>
      </w:pPr>
      <w:rPr>
        <w:rFonts w:hint="default"/>
      </w:rPr>
    </w:lvl>
    <w:lvl w:ilvl="5">
      <w:start w:val="0"/>
      <w:numFmt w:val="bullet"/>
      <w:lvlText w:val="•"/>
      <w:lvlJc w:val="left"/>
      <w:pPr>
        <w:ind w:left="2425" w:hanging="294"/>
      </w:pPr>
      <w:rPr>
        <w:rFonts w:hint="default"/>
      </w:rPr>
    </w:lvl>
    <w:lvl w:ilvl="6">
      <w:start w:val="0"/>
      <w:numFmt w:val="bullet"/>
      <w:lvlText w:val="•"/>
      <w:lvlJc w:val="left"/>
      <w:pPr>
        <w:ind w:left="2898" w:hanging="294"/>
      </w:pPr>
      <w:rPr>
        <w:rFonts w:hint="default"/>
      </w:rPr>
    </w:lvl>
    <w:lvl w:ilvl="7">
      <w:start w:val="0"/>
      <w:numFmt w:val="bullet"/>
      <w:lvlText w:val="•"/>
      <w:lvlJc w:val="left"/>
      <w:pPr>
        <w:ind w:left="3371" w:hanging="294"/>
      </w:pPr>
      <w:rPr>
        <w:rFonts w:hint="default"/>
      </w:rPr>
    </w:lvl>
    <w:lvl w:ilvl="8">
      <w:start w:val="0"/>
      <w:numFmt w:val="bullet"/>
      <w:lvlText w:val="•"/>
      <w:lvlJc w:val="left"/>
      <w:pPr>
        <w:ind w:left="3844" w:hanging="294"/>
      </w:pPr>
      <w:rPr>
        <w:rFonts w:hint="default"/>
      </w:rPr>
    </w:lvl>
  </w:abstractNum>
  <w:abstractNum w:abstractNumId="5">
    <w:multiLevelType w:val="hybridMultilevel"/>
    <w:lvl w:ilvl="0">
      <w:start w:val="0"/>
      <w:numFmt w:val="bullet"/>
      <w:lvlText w:val="−"/>
      <w:lvlJc w:val="left"/>
      <w:pPr>
        <w:ind w:left="69" w:hanging="397"/>
      </w:pPr>
      <w:rPr>
        <w:rFonts w:hint="default" w:ascii="Times New Roman" w:hAnsi="Times New Roman" w:eastAsia="Times New Roman" w:cs="Times New Roman"/>
        <w:color w:val="FFFFFF"/>
        <w:w w:val="88"/>
        <w:sz w:val="22"/>
        <w:szCs w:val="22"/>
      </w:rPr>
    </w:lvl>
    <w:lvl w:ilvl="1">
      <w:start w:val="0"/>
      <w:numFmt w:val="bullet"/>
      <w:lvlText w:val="•"/>
      <w:lvlJc w:val="left"/>
      <w:pPr>
        <w:ind w:left="551" w:hanging="397"/>
      </w:pPr>
      <w:rPr>
        <w:rFonts w:hint="default"/>
      </w:rPr>
    </w:lvl>
    <w:lvl w:ilvl="2">
      <w:start w:val="0"/>
      <w:numFmt w:val="bullet"/>
      <w:lvlText w:val="•"/>
      <w:lvlJc w:val="left"/>
      <w:pPr>
        <w:ind w:left="1042" w:hanging="397"/>
      </w:pPr>
      <w:rPr>
        <w:rFonts w:hint="default"/>
      </w:rPr>
    </w:lvl>
    <w:lvl w:ilvl="3">
      <w:start w:val="0"/>
      <w:numFmt w:val="bullet"/>
      <w:lvlText w:val="•"/>
      <w:lvlJc w:val="left"/>
      <w:pPr>
        <w:ind w:left="1533" w:hanging="397"/>
      </w:pPr>
      <w:rPr>
        <w:rFonts w:hint="default"/>
      </w:rPr>
    </w:lvl>
    <w:lvl w:ilvl="4">
      <w:start w:val="0"/>
      <w:numFmt w:val="bullet"/>
      <w:lvlText w:val="•"/>
      <w:lvlJc w:val="left"/>
      <w:pPr>
        <w:ind w:left="2024" w:hanging="397"/>
      </w:pPr>
      <w:rPr>
        <w:rFonts w:hint="default"/>
      </w:rPr>
    </w:lvl>
    <w:lvl w:ilvl="5">
      <w:start w:val="0"/>
      <w:numFmt w:val="bullet"/>
      <w:lvlText w:val="•"/>
      <w:lvlJc w:val="left"/>
      <w:pPr>
        <w:ind w:left="2515" w:hanging="397"/>
      </w:pPr>
      <w:rPr>
        <w:rFonts w:hint="default"/>
      </w:rPr>
    </w:lvl>
    <w:lvl w:ilvl="6">
      <w:start w:val="0"/>
      <w:numFmt w:val="bullet"/>
      <w:lvlText w:val="•"/>
      <w:lvlJc w:val="left"/>
      <w:pPr>
        <w:ind w:left="3006" w:hanging="397"/>
      </w:pPr>
      <w:rPr>
        <w:rFonts w:hint="default"/>
      </w:rPr>
    </w:lvl>
    <w:lvl w:ilvl="7">
      <w:start w:val="0"/>
      <w:numFmt w:val="bullet"/>
      <w:lvlText w:val="•"/>
      <w:lvlJc w:val="left"/>
      <w:pPr>
        <w:ind w:left="3497" w:hanging="397"/>
      </w:pPr>
      <w:rPr>
        <w:rFonts w:hint="default"/>
      </w:rPr>
    </w:lvl>
    <w:lvl w:ilvl="8">
      <w:start w:val="0"/>
      <w:numFmt w:val="bullet"/>
      <w:lvlText w:val="•"/>
      <w:lvlJc w:val="left"/>
      <w:pPr>
        <w:ind w:left="3988" w:hanging="397"/>
      </w:pPr>
      <w:rPr>
        <w:rFonts w:hint="default"/>
      </w:rPr>
    </w:lvl>
  </w:abstractNum>
  <w:abstractNum w:abstractNumId="4">
    <w:multiLevelType w:val="hybridMultilevel"/>
    <w:lvl w:ilvl="0">
      <w:start w:val="1"/>
      <w:numFmt w:val="decimal"/>
      <w:lvlText w:val="(%1)"/>
      <w:lvlJc w:val="left"/>
      <w:pPr>
        <w:ind w:left="64" w:hanging="307"/>
        <w:jc w:val="left"/>
      </w:pPr>
      <w:rPr>
        <w:rFonts w:hint="default" w:ascii="Times New Roman" w:hAnsi="Times New Roman" w:eastAsia="Times New Roman" w:cs="Times New Roman"/>
        <w:w w:val="91"/>
        <w:sz w:val="22"/>
        <w:szCs w:val="22"/>
      </w:rPr>
    </w:lvl>
    <w:lvl w:ilvl="1">
      <w:start w:val="0"/>
      <w:numFmt w:val="bullet"/>
      <w:lvlText w:val="•"/>
      <w:lvlJc w:val="left"/>
      <w:pPr>
        <w:ind w:left="533" w:hanging="307"/>
      </w:pPr>
      <w:rPr>
        <w:rFonts w:hint="default"/>
      </w:rPr>
    </w:lvl>
    <w:lvl w:ilvl="2">
      <w:start w:val="0"/>
      <w:numFmt w:val="bullet"/>
      <w:lvlText w:val="•"/>
      <w:lvlJc w:val="left"/>
      <w:pPr>
        <w:ind w:left="1006" w:hanging="307"/>
      </w:pPr>
      <w:rPr>
        <w:rFonts w:hint="default"/>
      </w:rPr>
    </w:lvl>
    <w:lvl w:ilvl="3">
      <w:start w:val="0"/>
      <w:numFmt w:val="bullet"/>
      <w:lvlText w:val="•"/>
      <w:lvlJc w:val="left"/>
      <w:pPr>
        <w:ind w:left="1479" w:hanging="307"/>
      </w:pPr>
      <w:rPr>
        <w:rFonts w:hint="default"/>
      </w:rPr>
    </w:lvl>
    <w:lvl w:ilvl="4">
      <w:start w:val="0"/>
      <w:numFmt w:val="bullet"/>
      <w:lvlText w:val="•"/>
      <w:lvlJc w:val="left"/>
      <w:pPr>
        <w:ind w:left="1952" w:hanging="307"/>
      </w:pPr>
      <w:rPr>
        <w:rFonts w:hint="default"/>
      </w:rPr>
    </w:lvl>
    <w:lvl w:ilvl="5">
      <w:start w:val="0"/>
      <w:numFmt w:val="bullet"/>
      <w:lvlText w:val="•"/>
      <w:lvlJc w:val="left"/>
      <w:pPr>
        <w:ind w:left="2425" w:hanging="307"/>
      </w:pPr>
      <w:rPr>
        <w:rFonts w:hint="default"/>
      </w:rPr>
    </w:lvl>
    <w:lvl w:ilvl="6">
      <w:start w:val="0"/>
      <w:numFmt w:val="bullet"/>
      <w:lvlText w:val="•"/>
      <w:lvlJc w:val="left"/>
      <w:pPr>
        <w:ind w:left="2898" w:hanging="307"/>
      </w:pPr>
      <w:rPr>
        <w:rFonts w:hint="default"/>
      </w:rPr>
    </w:lvl>
    <w:lvl w:ilvl="7">
      <w:start w:val="0"/>
      <w:numFmt w:val="bullet"/>
      <w:lvlText w:val="•"/>
      <w:lvlJc w:val="left"/>
      <w:pPr>
        <w:ind w:left="3371" w:hanging="307"/>
      </w:pPr>
      <w:rPr>
        <w:rFonts w:hint="default"/>
      </w:rPr>
    </w:lvl>
    <w:lvl w:ilvl="8">
      <w:start w:val="0"/>
      <w:numFmt w:val="bullet"/>
      <w:lvlText w:val="•"/>
      <w:lvlJc w:val="left"/>
      <w:pPr>
        <w:ind w:left="3844" w:hanging="307"/>
      </w:pPr>
      <w:rPr>
        <w:rFonts w:hint="default"/>
      </w:rPr>
    </w:lvl>
  </w:abstractNum>
  <w:abstractNum w:abstractNumId="3">
    <w:multiLevelType w:val="hybridMultilevel"/>
    <w:lvl w:ilvl="0">
      <w:start w:val="1"/>
      <w:numFmt w:val="decimal"/>
      <w:lvlText w:val="(%1)"/>
      <w:lvlJc w:val="left"/>
      <w:pPr>
        <w:ind w:left="64" w:hanging="358"/>
        <w:jc w:val="left"/>
      </w:pPr>
      <w:rPr>
        <w:rFonts w:hint="default" w:ascii="Times New Roman" w:hAnsi="Times New Roman" w:eastAsia="Times New Roman" w:cs="Times New Roman"/>
        <w:w w:val="91"/>
        <w:sz w:val="22"/>
        <w:szCs w:val="22"/>
      </w:rPr>
    </w:lvl>
    <w:lvl w:ilvl="1">
      <w:start w:val="0"/>
      <w:numFmt w:val="bullet"/>
      <w:lvlText w:val="•"/>
      <w:lvlJc w:val="left"/>
      <w:pPr>
        <w:ind w:left="533" w:hanging="358"/>
      </w:pPr>
      <w:rPr>
        <w:rFonts w:hint="default"/>
      </w:rPr>
    </w:lvl>
    <w:lvl w:ilvl="2">
      <w:start w:val="0"/>
      <w:numFmt w:val="bullet"/>
      <w:lvlText w:val="•"/>
      <w:lvlJc w:val="left"/>
      <w:pPr>
        <w:ind w:left="1006" w:hanging="358"/>
      </w:pPr>
      <w:rPr>
        <w:rFonts w:hint="default"/>
      </w:rPr>
    </w:lvl>
    <w:lvl w:ilvl="3">
      <w:start w:val="0"/>
      <w:numFmt w:val="bullet"/>
      <w:lvlText w:val="•"/>
      <w:lvlJc w:val="left"/>
      <w:pPr>
        <w:ind w:left="1479" w:hanging="358"/>
      </w:pPr>
      <w:rPr>
        <w:rFonts w:hint="default"/>
      </w:rPr>
    </w:lvl>
    <w:lvl w:ilvl="4">
      <w:start w:val="0"/>
      <w:numFmt w:val="bullet"/>
      <w:lvlText w:val="•"/>
      <w:lvlJc w:val="left"/>
      <w:pPr>
        <w:ind w:left="1952" w:hanging="358"/>
      </w:pPr>
      <w:rPr>
        <w:rFonts w:hint="default"/>
      </w:rPr>
    </w:lvl>
    <w:lvl w:ilvl="5">
      <w:start w:val="0"/>
      <w:numFmt w:val="bullet"/>
      <w:lvlText w:val="•"/>
      <w:lvlJc w:val="left"/>
      <w:pPr>
        <w:ind w:left="2425" w:hanging="358"/>
      </w:pPr>
      <w:rPr>
        <w:rFonts w:hint="default"/>
      </w:rPr>
    </w:lvl>
    <w:lvl w:ilvl="6">
      <w:start w:val="0"/>
      <w:numFmt w:val="bullet"/>
      <w:lvlText w:val="•"/>
      <w:lvlJc w:val="left"/>
      <w:pPr>
        <w:ind w:left="2898" w:hanging="358"/>
      </w:pPr>
      <w:rPr>
        <w:rFonts w:hint="default"/>
      </w:rPr>
    </w:lvl>
    <w:lvl w:ilvl="7">
      <w:start w:val="0"/>
      <w:numFmt w:val="bullet"/>
      <w:lvlText w:val="•"/>
      <w:lvlJc w:val="left"/>
      <w:pPr>
        <w:ind w:left="3371" w:hanging="358"/>
      </w:pPr>
      <w:rPr>
        <w:rFonts w:hint="default"/>
      </w:rPr>
    </w:lvl>
    <w:lvl w:ilvl="8">
      <w:start w:val="0"/>
      <w:numFmt w:val="bullet"/>
      <w:lvlText w:val="•"/>
      <w:lvlJc w:val="left"/>
      <w:pPr>
        <w:ind w:left="3844" w:hanging="358"/>
      </w:pPr>
      <w:rPr>
        <w:rFonts w:hint="default"/>
      </w:rPr>
    </w:lvl>
  </w:abstractNum>
  <w:abstractNum w:abstractNumId="2">
    <w:multiLevelType w:val="hybridMultilevel"/>
    <w:lvl w:ilvl="0">
      <w:start w:val="1"/>
      <w:numFmt w:val="decimal"/>
      <w:lvlText w:val="(%1)"/>
      <w:lvlJc w:val="left"/>
      <w:pPr>
        <w:ind w:left="64" w:hanging="416"/>
        <w:jc w:val="left"/>
      </w:pPr>
      <w:rPr>
        <w:rFonts w:hint="default" w:ascii="Times New Roman" w:hAnsi="Times New Roman" w:eastAsia="Times New Roman" w:cs="Times New Roman"/>
        <w:w w:val="91"/>
        <w:sz w:val="22"/>
        <w:szCs w:val="22"/>
      </w:rPr>
    </w:lvl>
    <w:lvl w:ilvl="1">
      <w:start w:val="0"/>
      <w:numFmt w:val="bullet"/>
      <w:lvlText w:val="•"/>
      <w:lvlJc w:val="left"/>
      <w:pPr>
        <w:ind w:left="533" w:hanging="416"/>
      </w:pPr>
      <w:rPr>
        <w:rFonts w:hint="default"/>
      </w:rPr>
    </w:lvl>
    <w:lvl w:ilvl="2">
      <w:start w:val="0"/>
      <w:numFmt w:val="bullet"/>
      <w:lvlText w:val="•"/>
      <w:lvlJc w:val="left"/>
      <w:pPr>
        <w:ind w:left="1006" w:hanging="416"/>
      </w:pPr>
      <w:rPr>
        <w:rFonts w:hint="default"/>
      </w:rPr>
    </w:lvl>
    <w:lvl w:ilvl="3">
      <w:start w:val="0"/>
      <w:numFmt w:val="bullet"/>
      <w:lvlText w:val="•"/>
      <w:lvlJc w:val="left"/>
      <w:pPr>
        <w:ind w:left="1479" w:hanging="416"/>
      </w:pPr>
      <w:rPr>
        <w:rFonts w:hint="default"/>
      </w:rPr>
    </w:lvl>
    <w:lvl w:ilvl="4">
      <w:start w:val="0"/>
      <w:numFmt w:val="bullet"/>
      <w:lvlText w:val="•"/>
      <w:lvlJc w:val="left"/>
      <w:pPr>
        <w:ind w:left="1952" w:hanging="416"/>
      </w:pPr>
      <w:rPr>
        <w:rFonts w:hint="default"/>
      </w:rPr>
    </w:lvl>
    <w:lvl w:ilvl="5">
      <w:start w:val="0"/>
      <w:numFmt w:val="bullet"/>
      <w:lvlText w:val="•"/>
      <w:lvlJc w:val="left"/>
      <w:pPr>
        <w:ind w:left="2425" w:hanging="416"/>
      </w:pPr>
      <w:rPr>
        <w:rFonts w:hint="default"/>
      </w:rPr>
    </w:lvl>
    <w:lvl w:ilvl="6">
      <w:start w:val="0"/>
      <w:numFmt w:val="bullet"/>
      <w:lvlText w:val="•"/>
      <w:lvlJc w:val="left"/>
      <w:pPr>
        <w:ind w:left="2898" w:hanging="416"/>
      </w:pPr>
      <w:rPr>
        <w:rFonts w:hint="default"/>
      </w:rPr>
    </w:lvl>
    <w:lvl w:ilvl="7">
      <w:start w:val="0"/>
      <w:numFmt w:val="bullet"/>
      <w:lvlText w:val="•"/>
      <w:lvlJc w:val="left"/>
      <w:pPr>
        <w:ind w:left="3371" w:hanging="416"/>
      </w:pPr>
      <w:rPr>
        <w:rFonts w:hint="default"/>
      </w:rPr>
    </w:lvl>
    <w:lvl w:ilvl="8">
      <w:start w:val="0"/>
      <w:numFmt w:val="bullet"/>
      <w:lvlText w:val="•"/>
      <w:lvlJc w:val="left"/>
      <w:pPr>
        <w:ind w:left="3844" w:hanging="416"/>
      </w:pPr>
      <w:rPr>
        <w:rFonts w:hint="default"/>
      </w:rPr>
    </w:lvl>
  </w:abstractNum>
  <w:abstractNum w:abstractNumId="1">
    <w:multiLevelType w:val="hybridMultilevel"/>
    <w:lvl w:ilvl="0">
      <w:start w:val="2"/>
      <w:numFmt w:val="decimal"/>
      <w:lvlText w:val="%1)"/>
      <w:lvlJc w:val="left"/>
      <w:pPr>
        <w:ind w:left="69" w:hanging="236"/>
        <w:jc w:val="left"/>
      </w:pPr>
      <w:rPr>
        <w:rFonts w:hint="default" w:ascii="Times New Roman" w:hAnsi="Times New Roman" w:eastAsia="Times New Roman" w:cs="Times New Roman"/>
        <w:color w:val="FFFFFF"/>
        <w:w w:val="91"/>
        <w:sz w:val="22"/>
        <w:szCs w:val="22"/>
      </w:rPr>
    </w:lvl>
    <w:lvl w:ilvl="1">
      <w:start w:val="0"/>
      <w:numFmt w:val="bullet"/>
      <w:lvlText w:val="•"/>
      <w:lvlJc w:val="left"/>
      <w:pPr>
        <w:ind w:left="551" w:hanging="236"/>
      </w:pPr>
      <w:rPr>
        <w:rFonts w:hint="default"/>
      </w:rPr>
    </w:lvl>
    <w:lvl w:ilvl="2">
      <w:start w:val="0"/>
      <w:numFmt w:val="bullet"/>
      <w:lvlText w:val="•"/>
      <w:lvlJc w:val="left"/>
      <w:pPr>
        <w:ind w:left="1042" w:hanging="236"/>
      </w:pPr>
      <w:rPr>
        <w:rFonts w:hint="default"/>
      </w:rPr>
    </w:lvl>
    <w:lvl w:ilvl="3">
      <w:start w:val="0"/>
      <w:numFmt w:val="bullet"/>
      <w:lvlText w:val="•"/>
      <w:lvlJc w:val="left"/>
      <w:pPr>
        <w:ind w:left="1533" w:hanging="236"/>
      </w:pPr>
      <w:rPr>
        <w:rFonts w:hint="default"/>
      </w:rPr>
    </w:lvl>
    <w:lvl w:ilvl="4">
      <w:start w:val="0"/>
      <w:numFmt w:val="bullet"/>
      <w:lvlText w:val="•"/>
      <w:lvlJc w:val="left"/>
      <w:pPr>
        <w:ind w:left="2024" w:hanging="236"/>
      </w:pPr>
      <w:rPr>
        <w:rFonts w:hint="default"/>
      </w:rPr>
    </w:lvl>
    <w:lvl w:ilvl="5">
      <w:start w:val="0"/>
      <w:numFmt w:val="bullet"/>
      <w:lvlText w:val="•"/>
      <w:lvlJc w:val="left"/>
      <w:pPr>
        <w:ind w:left="2515" w:hanging="236"/>
      </w:pPr>
      <w:rPr>
        <w:rFonts w:hint="default"/>
      </w:rPr>
    </w:lvl>
    <w:lvl w:ilvl="6">
      <w:start w:val="0"/>
      <w:numFmt w:val="bullet"/>
      <w:lvlText w:val="•"/>
      <w:lvlJc w:val="left"/>
      <w:pPr>
        <w:ind w:left="3006" w:hanging="236"/>
      </w:pPr>
      <w:rPr>
        <w:rFonts w:hint="default"/>
      </w:rPr>
    </w:lvl>
    <w:lvl w:ilvl="7">
      <w:start w:val="0"/>
      <w:numFmt w:val="bullet"/>
      <w:lvlText w:val="•"/>
      <w:lvlJc w:val="left"/>
      <w:pPr>
        <w:ind w:left="3497" w:hanging="236"/>
      </w:pPr>
      <w:rPr>
        <w:rFonts w:hint="default"/>
      </w:rPr>
    </w:lvl>
    <w:lvl w:ilvl="8">
      <w:start w:val="0"/>
      <w:numFmt w:val="bullet"/>
      <w:lvlText w:val="•"/>
      <w:lvlJc w:val="left"/>
      <w:pPr>
        <w:ind w:left="3988" w:hanging="236"/>
      </w:pPr>
      <w:rPr>
        <w:rFonts w:hint="default"/>
      </w:rPr>
    </w:lvl>
  </w:abstractNum>
  <w:abstractNum w:abstractNumId="0">
    <w:multiLevelType w:val="hybridMultilevel"/>
    <w:lvl w:ilvl="0">
      <w:start w:val="1"/>
      <w:numFmt w:val="decimal"/>
      <w:lvlText w:val="(%1)"/>
      <w:lvlJc w:val="left"/>
      <w:pPr>
        <w:ind w:left="64" w:hanging="422"/>
        <w:jc w:val="left"/>
      </w:pPr>
      <w:rPr>
        <w:rFonts w:hint="default" w:ascii="Times New Roman" w:hAnsi="Times New Roman" w:eastAsia="Times New Roman" w:cs="Times New Roman"/>
        <w:w w:val="91"/>
        <w:sz w:val="22"/>
        <w:szCs w:val="22"/>
      </w:rPr>
    </w:lvl>
    <w:lvl w:ilvl="1">
      <w:start w:val="0"/>
      <w:numFmt w:val="bullet"/>
      <w:lvlText w:val="•"/>
      <w:lvlJc w:val="left"/>
      <w:pPr>
        <w:ind w:left="533" w:hanging="422"/>
      </w:pPr>
      <w:rPr>
        <w:rFonts w:hint="default"/>
      </w:rPr>
    </w:lvl>
    <w:lvl w:ilvl="2">
      <w:start w:val="0"/>
      <w:numFmt w:val="bullet"/>
      <w:lvlText w:val="•"/>
      <w:lvlJc w:val="left"/>
      <w:pPr>
        <w:ind w:left="1006" w:hanging="422"/>
      </w:pPr>
      <w:rPr>
        <w:rFonts w:hint="default"/>
      </w:rPr>
    </w:lvl>
    <w:lvl w:ilvl="3">
      <w:start w:val="0"/>
      <w:numFmt w:val="bullet"/>
      <w:lvlText w:val="•"/>
      <w:lvlJc w:val="left"/>
      <w:pPr>
        <w:ind w:left="1479" w:hanging="422"/>
      </w:pPr>
      <w:rPr>
        <w:rFonts w:hint="default"/>
      </w:rPr>
    </w:lvl>
    <w:lvl w:ilvl="4">
      <w:start w:val="0"/>
      <w:numFmt w:val="bullet"/>
      <w:lvlText w:val="•"/>
      <w:lvlJc w:val="left"/>
      <w:pPr>
        <w:ind w:left="1952" w:hanging="422"/>
      </w:pPr>
      <w:rPr>
        <w:rFonts w:hint="default"/>
      </w:rPr>
    </w:lvl>
    <w:lvl w:ilvl="5">
      <w:start w:val="0"/>
      <w:numFmt w:val="bullet"/>
      <w:lvlText w:val="•"/>
      <w:lvlJc w:val="left"/>
      <w:pPr>
        <w:ind w:left="2425" w:hanging="422"/>
      </w:pPr>
      <w:rPr>
        <w:rFonts w:hint="default"/>
      </w:rPr>
    </w:lvl>
    <w:lvl w:ilvl="6">
      <w:start w:val="0"/>
      <w:numFmt w:val="bullet"/>
      <w:lvlText w:val="•"/>
      <w:lvlJc w:val="left"/>
      <w:pPr>
        <w:ind w:left="2898" w:hanging="422"/>
      </w:pPr>
      <w:rPr>
        <w:rFonts w:hint="default"/>
      </w:rPr>
    </w:lvl>
    <w:lvl w:ilvl="7">
      <w:start w:val="0"/>
      <w:numFmt w:val="bullet"/>
      <w:lvlText w:val="•"/>
      <w:lvlJc w:val="left"/>
      <w:pPr>
        <w:ind w:left="3371" w:hanging="422"/>
      </w:pPr>
      <w:rPr>
        <w:rFonts w:hint="default"/>
      </w:rPr>
    </w:lvl>
    <w:lvl w:ilvl="8">
      <w:start w:val="0"/>
      <w:numFmt w:val="bullet"/>
      <w:lvlText w:val="•"/>
      <w:lvlJc w:val="left"/>
      <w:pPr>
        <w:ind w:left="3844" w:hanging="422"/>
      </w:pPr>
      <w:rPr>
        <w:rFonts w:hint="default"/>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diren.kaynak</dc:creator>
  <dc:title>Microsoft Word - FR.66 CAO Denetim Kontrol Listesi (1) (1)</dc:title>
  <dcterms:created xsi:type="dcterms:W3CDTF">2026-08-04T14:00:02Z</dcterms:created>
  <dcterms:modified xsi:type="dcterms:W3CDTF">2026-08-04T14:00:02Z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2026-07-28T00:00:00Z</vt:filetime>
  </property>
  <property fmtid="{D5CDD505-2E9C-101B-9397-08002B2CF9AE}" pid="3" name="LastSaved">
    <vt:filetime>2026-08-04T00:00:00Z</vt:filetime>
  </property>
</Properties>
</file>