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CA" w:rsidRDefault="00EF38C6" w:rsidP="00BD6A46">
      <w:pPr>
        <w:jc w:val="center"/>
        <w:rPr>
          <w:rFonts w:cstheme="minorHAnsi"/>
          <w:b/>
          <w:sz w:val="28"/>
          <w:szCs w:val="28"/>
          <w:lang w:val="en-GB"/>
        </w:rPr>
      </w:pPr>
      <w:r>
        <w:rPr>
          <w:rFonts w:cstheme="minorHAnsi"/>
          <w:b/>
          <w:sz w:val="28"/>
          <w:szCs w:val="28"/>
          <w:lang w:val="en-GB"/>
        </w:rPr>
        <w:t>SHT</w:t>
      </w:r>
      <w:r w:rsidR="00BD6A46" w:rsidRPr="00A86F17">
        <w:rPr>
          <w:rFonts w:cstheme="minorHAnsi"/>
          <w:b/>
          <w:sz w:val="28"/>
          <w:szCs w:val="28"/>
          <w:lang w:val="en-GB"/>
        </w:rPr>
        <w:t xml:space="preserve"> 21 SUBPART G PRODUCTION ORGANISATION</w:t>
      </w:r>
      <w:r w:rsidR="00BD6A46">
        <w:rPr>
          <w:rFonts w:cstheme="minorHAnsi"/>
          <w:b/>
          <w:sz w:val="28"/>
          <w:szCs w:val="28"/>
          <w:lang w:val="en-GB"/>
        </w:rPr>
        <w:t xml:space="preserve"> EXPOSITION (POE)</w:t>
      </w:r>
      <w:r w:rsidR="00BD6A46" w:rsidRPr="00A86F17">
        <w:rPr>
          <w:rFonts w:cstheme="minorHAnsi"/>
          <w:b/>
          <w:sz w:val="28"/>
          <w:szCs w:val="28"/>
          <w:lang w:val="en-GB"/>
        </w:rPr>
        <w:t xml:space="preserve"> </w:t>
      </w:r>
      <w:r w:rsidR="00913EDE">
        <w:rPr>
          <w:rFonts w:cstheme="minorHAnsi"/>
          <w:b/>
          <w:sz w:val="28"/>
          <w:szCs w:val="28"/>
          <w:lang w:val="en-GB"/>
        </w:rPr>
        <w:t xml:space="preserve">INDEX </w:t>
      </w:r>
      <w:bookmarkStart w:id="0" w:name="_GoBack"/>
      <w:bookmarkEnd w:id="0"/>
      <w:r w:rsidR="00BD6A46" w:rsidRPr="00A86F17">
        <w:rPr>
          <w:rFonts w:cstheme="minorHAnsi"/>
          <w:b/>
          <w:sz w:val="28"/>
          <w:szCs w:val="28"/>
          <w:lang w:val="en-GB"/>
        </w:rPr>
        <w:t>COMPLIANCE CHECK LIST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366"/>
        <w:gridCol w:w="381"/>
        <w:gridCol w:w="2024"/>
        <w:gridCol w:w="2242"/>
        <w:gridCol w:w="479"/>
        <w:gridCol w:w="6600"/>
      </w:tblGrid>
      <w:tr w:rsidR="00125A3E" w:rsidRPr="001577E1" w:rsidTr="0013045E">
        <w:trPr>
          <w:trHeight w:val="454"/>
        </w:trPr>
        <w:tc>
          <w:tcPr>
            <w:tcW w:w="680" w:type="pct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125A3E" w:rsidRPr="00680235" w:rsidRDefault="00125A3E" w:rsidP="001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Organisation:</w:t>
            </w:r>
          </w:p>
        </w:tc>
        <w:tc>
          <w:tcPr>
            <w:tcW w:w="4320" w:type="pct"/>
            <w:gridSpan w:val="6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A3E" w:rsidRPr="00C505F8" w:rsidRDefault="00125A3E" w:rsidP="001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</w:tr>
      <w:tr w:rsidR="00125A3E" w:rsidRPr="001577E1" w:rsidTr="0013045E">
        <w:trPr>
          <w:trHeight w:val="454"/>
        </w:trPr>
        <w:tc>
          <w:tcPr>
            <w:tcW w:w="811" w:type="pct"/>
            <w:gridSpan w:val="2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125A3E" w:rsidRPr="00680235" w:rsidRDefault="00125A3E" w:rsidP="001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Application date:</w:t>
            </w:r>
          </w:p>
        </w:tc>
        <w:tc>
          <w:tcPr>
            <w:tcW w:w="859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A3E" w:rsidRPr="001577E1" w:rsidRDefault="00125A3E" w:rsidP="001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  <w:tc>
          <w:tcPr>
            <w:tcW w:w="801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125A3E" w:rsidRPr="00680235" w:rsidRDefault="00125A3E" w:rsidP="001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Application Ref.:</w:t>
            </w:r>
          </w:p>
        </w:tc>
        <w:tc>
          <w:tcPr>
            <w:tcW w:w="2529" w:type="pct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:rsidR="00125A3E" w:rsidRPr="001577E1" w:rsidRDefault="00125A3E" w:rsidP="001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</w:tr>
      <w:tr w:rsidR="00125A3E" w:rsidRPr="001577E1" w:rsidTr="0013045E">
        <w:trPr>
          <w:trHeight w:val="454"/>
        </w:trPr>
        <w:tc>
          <w:tcPr>
            <w:tcW w:w="947" w:type="pct"/>
            <w:gridSpan w:val="3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125A3E" w:rsidRPr="00680235" w:rsidRDefault="00125A3E" w:rsidP="001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 xml:space="preserve">Isuue/Revision </w:t>
            </w: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No:</w:t>
            </w:r>
          </w:p>
        </w:tc>
        <w:tc>
          <w:tcPr>
            <w:tcW w:w="72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A3E" w:rsidRPr="001577E1" w:rsidRDefault="00125A3E" w:rsidP="001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125A3E" w:rsidRPr="00680235" w:rsidRDefault="00125A3E" w:rsidP="001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Issue/Revision D</w:t>
            </w: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ate:</w:t>
            </w:r>
          </w:p>
        </w:tc>
        <w:tc>
          <w:tcPr>
            <w:tcW w:w="2358" w:type="pct"/>
            <w:tcBorders>
              <w:left w:val="single" w:sz="4" w:space="0" w:color="A6A6A6" w:themeColor="background1" w:themeShade="A6"/>
            </w:tcBorders>
            <w:vAlign w:val="center"/>
          </w:tcPr>
          <w:p w:rsidR="00125A3E" w:rsidRPr="001577E1" w:rsidRDefault="00125A3E" w:rsidP="001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</w:tr>
      <w:tr w:rsidR="00125A3E" w:rsidRPr="001577E1" w:rsidTr="0013045E">
        <w:trPr>
          <w:trHeight w:val="454"/>
        </w:trPr>
        <w:tc>
          <w:tcPr>
            <w:tcW w:w="947" w:type="pct"/>
            <w:gridSpan w:val="3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125A3E" w:rsidRPr="00680235" w:rsidRDefault="00125A3E" w:rsidP="001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Reason for Revision</w:t>
            </w:r>
          </w:p>
        </w:tc>
        <w:tc>
          <w:tcPr>
            <w:tcW w:w="4053" w:type="pct"/>
            <w:gridSpan w:val="4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A3E" w:rsidRPr="007B0DFB" w:rsidRDefault="00125A3E" w:rsidP="001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b/>
                <w:sz w:val="16"/>
                <w:szCs w:val="16"/>
              </w:rPr>
            </w:pPr>
          </w:p>
        </w:tc>
      </w:tr>
    </w:tbl>
    <w:p w:rsidR="00BD6A46" w:rsidRDefault="00BD6A46" w:rsidP="00125A3E">
      <w:pPr>
        <w:tabs>
          <w:tab w:val="left" w:pos="2904"/>
        </w:tabs>
        <w:rPr>
          <w:rFonts w:cstheme="minorHAnsi"/>
          <w:b/>
          <w:sz w:val="28"/>
          <w:szCs w:val="28"/>
          <w:lang w:val="en-GB"/>
        </w:rPr>
      </w:pPr>
    </w:p>
    <w:p w:rsidR="00125A3E" w:rsidRDefault="00125A3E" w:rsidP="00125A3E">
      <w:pPr>
        <w:tabs>
          <w:tab w:val="left" w:pos="2904"/>
        </w:tabs>
        <w:rPr>
          <w:rFonts w:cstheme="minorHAnsi"/>
          <w:b/>
          <w:sz w:val="28"/>
          <w:szCs w:val="28"/>
          <w:lang w:val="en-GB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489"/>
        <w:gridCol w:w="1916"/>
        <w:gridCol w:w="3841"/>
        <w:gridCol w:w="1549"/>
        <w:gridCol w:w="800"/>
        <w:gridCol w:w="685"/>
        <w:gridCol w:w="236"/>
        <w:gridCol w:w="236"/>
      </w:tblGrid>
      <w:tr w:rsidR="00BD6A46" w:rsidRPr="00C72856" w:rsidTr="0013045E">
        <w:trPr>
          <w:cantSplit/>
          <w:trHeight w:val="388"/>
          <w:tblHeader/>
        </w:trPr>
        <w:tc>
          <w:tcPr>
            <w:tcW w:w="8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6A46" w:rsidRPr="00C72856" w:rsidRDefault="00BD6A46" w:rsidP="00130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A46" w:rsidRPr="00A745C1" w:rsidRDefault="00F871FA" w:rsidP="001304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Reference to SHT</w:t>
            </w:r>
            <w:r w:rsidR="00BD6A46" w:rsidRPr="00A745C1">
              <w:rPr>
                <w:b/>
                <w:sz w:val="16"/>
                <w:szCs w:val="16"/>
              </w:rPr>
              <w:t xml:space="preserve"> 21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:rsidR="00BD6A46" w:rsidRPr="00C72856" w:rsidRDefault="00BD6A46" w:rsidP="0013045E">
            <w:pPr>
              <w:jc w:val="center"/>
              <w:rPr>
                <w:b/>
                <w:sz w:val="16"/>
                <w:szCs w:val="16"/>
              </w:rPr>
            </w:pPr>
            <w:r w:rsidRPr="00C72856">
              <w:rPr>
                <w:b/>
                <w:sz w:val="16"/>
                <w:szCs w:val="16"/>
              </w:rPr>
              <w:t>Ref to POE paragraph</w:t>
            </w:r>
          </w:p>
        </w:tc>
        <w:tc>
          <w:tcPr>
            <w:tcW w:w="137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A46" w:rsidRPr="00C72856" w:rsidRDefault="00BD6A46" w:rsidP="0013045E">
            <w:pPr>
              <w:jc w:val="center"/>
              <w:rPr>
                <w:b/>
                <w:sz w:val="16"/>
                <w:szCs w:val="16"/>
              </w:rPr>
            </w:pPr>
            <w:r w:rsidRPr="00C72856">
              <w:rPr>
                <w:b/>
                <w:sz w:val="16"/>
                <w:szCs w:val="16"/>
              </w:rPr>
              <w:t>Comment for applicant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BD6A46" w:rsidRPr="00C72856" w:rsidRDefault="00BD6A46" w:rsidP="0013045E">
            <w:pPr>
              <w:jc w:val="center"/>
              <w:rPr>
                <w:b/>
                <w:sz w:val="16"/>
                <w:szCs w:val="16"/>
              </w:rPr>
            </w:pPr>
            <w:r w:rsidRPr="00C72856">
              <w:rPr>
                <w:b/>
                <w:sz w:val="16"/>
                <w:szCs w:val="16"/>
              </w:rPr>
              <w:t>Comment for Competent Authority</w:t>
            </w:r>
          </w:p>
        </w:tc>
      </w:tr>
      <w:tr w:rsidR="00BD6A46" w:rsidRPr="00807571" w:rsidTr="0013045E">
        <w:trPr>
          <w:cantSplit/>
        </w:trPr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6A46" w:rsidRPr="00807571" w:rsidRDefault="00BD6A46" w:rsidP="0013045E">
            <w:pPr>
              <w:rPr>
                <w:b/>
                <w:sz w:val="16"/>
                <w:szCs w:val="16"/>
              </w:rPr>
            </w:pPr>
          </w:p>
        </w:tc>
        <w:tc>
          <w:tcPr>
            <w:tcW w:w="8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A46" w:rsidRPr="00A745C1" w:rsidRDefault="00BD6A46" w:rsidP="00130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7" w:type="pct"/>
            <w:tcBorders>
              <w:left w:val="nil"/>
              <w:bottom w:val="nil"/>
              <w:right w:val="nil"/>
            </w:tcBorders>
          </w:tcPr>
          <w:p w:rsidR="00BD6A46" w:rsidRPr="00807571" w:rsidRDefault="00BD6A46" w:rsidP="00130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9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A46" w:rsidRPr="00807571" w:rsidRDefault="00BD6A46" w:rsidP="001304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right w:val="single" w:sz="4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b/>
                <w:sz w:val="16"/>
                <w:szCs w:val="16"/>
              </w:rPr>
            </w:pPr>
            <w:r w:rsidRPr="00C72856">
              <w:rPr>
                <w:b/>
                <w:sz w:val="16"/>
                <w:szCs w:val="16"/>
              </w:rPr>
              <w:t>General information that should be in the first page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nil"/>
              <w:left w:val="nil"/>
              <w:right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B95F89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4C1E7A" w:rsidP="0013045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SHT</w:t>
            </w:r>
            <w:r w:rsidR="00BD6A46" w:rsidRPr="00C72856">
              <w:rPr>
                <w:sz w:val="16"/>
                <w:szCs w:val="16"/>
                <w:lang w:val="fr-FR"/>
              </w:rPr>
              <w:t xml:space="preserve"> 21 subpart G Production Organisation Exposition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  <w:lang w:val="fr-FR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Name and address of the Organisation complying with official name (</w:t>
            </w:r>
            <w:r>
              <w:rPr>
                <w:sz w:val="16"/>
                <w:szCs w:val="16"/>
              </w:rPr>
              <w:t xml:space="preserve">as per </w:t>
            </w:r>
            <w:r w:rsidRPr="00C72856">
              <w:rPr>
                <w:sz w:val="16"/>
                <w:szCs w:val="16"/>
              </w:rPr>
              <w:t>business registration)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Approval reference of the POA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lastRenderedPageBreak/>
              <w:t xml:space="preserve">Reference of the Exposition with issue number 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Approval date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left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left w:val="nil"/>
              <w:bottom w:val="nil"/>
              <w:right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b/>
                <w:sz w:val="16"/>
                <w:szCs w:val="16"/>
              </w:rPr>
            </w:pPr>
            <w:r w:rsidRPr="00C72856">
              <w:rPr>
                <w:b/>
                <w:sz w:val="16"/>
                <w:szCs w:val="16"/>
              </w:rPr>
              <w:t>General information for each page</w:t>
            </w:r>
          </w:p>
        </w:tc>
        <w:tc>
          <w:tcPr>
            <w:tcW w:w="892" w:type="pct"/>
            <w:tcBorders>
              <w:top w:val="nil"/>
              <w:right w:val="nil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nil"/>
              <w:left w:val="nil"/>
              <w:right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 xml:space="preserve">Name of the organisation 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 xml:space="preserve">POE identification 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Amendment/revision number of the POE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Page number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left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left w:val="nil"/>
              <w:bottom w:val="nil"/>
              <w:right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b/>
                <w:sz w:val="16"/>
                <w:szCs w:val="16"/>
              </w:rPr>
            </w:pPr>
            <w:r w:rsidRPr="00C72856">
              <w:rPr>
                <w:b/>
                <w:sz w:val="16"/>
                <w:szCs w:val="16"/>
              </w:rPr>
              <w:t>General chapters</w:t>
            </w:r>
          </w:p>
        </w:tc>
        <w:tc>
          <w:tcPr>
            <w:tcW w:w="892" w:type="pct"/>
            <w:tcBorders>
              <w:top w:val="nil"/>
              <w:right w:val="nil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nil"/>
              <w:left w:val="nil"/>
              <w:right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 xml:space="preserve">Table of content 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History of revision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Including status of the revision. Please ensure that the changes are somehow highlighted and that they are easy to identify.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 xml:space="preserve">List of effectives pages 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Distribution list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lastRenderedPageBreak/>
              <w:t>Terms and abbreviation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This can be removed from general chapters if any abbreviations are defined every time it is used in the document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Introduction / Description of the Organisation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This is to present the organisation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1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b/>
                <w:sz w:val="16"/>
                <w:szCs w:val="16"/>
              </w:rPr>
            </w:pPr>
          </w:p>
        </w:tc>
        <w:tc>
          <w:tcPr>
            <w:tcW w:w="2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b/>
                <w:sz w:val="16"/>
                <w:szCs w:val="16"/>
              </w:rPr>
            </w:pPr>
            <w:r w:rsidRPr="00C72856">
              <w:rPr>
                <w:b/>
                <w:sz w:val="16"/>
                <w:szCs w:val="16"/>
              </w:rPr>
              <w:t>Management Procedures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nil"/>
              <w:left w:val="nil"/>
              <w:right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Signed corporate commitment by the Accountable Manager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21.A.143(a)(1)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Shall confirm that the production organisation exposition and any associated manuals which define the approved organisation’s compliance with this subpart will be complied with at all times.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Nomination of Accountable Manager with reference to delegation letter when the AM is nominated by top management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21.A.143(a)(2)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21.A.145(c)(1)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The letter of nomination of AM by top management shall be included in the POE (e.g</w:t>
            </w:r>
            <w:proofErr w:type="gramStart"/>
            <w:r w:rsidRPr="00D447C5">
              <w:rPr>
                <w:sz w:val="16"/>
                <w:szCs w:val="16"/>
              </w:rPr>
              <w:t>.,</w:t>
            </w:r>
            <w:proofErr w:type="gramEnd"/>
            <w:r w:rsidRPr="00D447C5">
              <w:rPr>
                <w:sz w:val="16"/>
                <w:szCs w:val="16"/>
              </w:rPr>
              <w:t xml:space="preserve"> as an attachment)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Management personnel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</w:t>
            </w:r>
            <w:r>
              <w:rPr>
                <w:sz w:val="16"/>
                <w:szCs w:val="16"/>
              </w:rPr>
              <w:t>3</w:t>
            </w:r>
            <w:r w:rsidRPr="00A745C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</w:t>
            </w:r>
            <w:r w:rsidRPr="00A745C1">
              <w:rPr>
                <w:sz w:val="16"/>
                <w:szCs w:val="16"/>
              </w:rPr>
              <w:t>)(2)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</w:t>
            </w:r>
            <w:r>
              <w:rPr>
                <w:sz w:val="16"/>
                <w:szCs w:val="16"/>
              </w:rPr>
              <w:t>5</w:t>
            </w:r>
            <w:r w:rsidRPr="00A745C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</w:t>
            </w:r>
            <w:r w:rsidRPr="00A745C1">
              <w:rPr>
                <w:sz w:val="16"/>
                <w:szCs w:val="16"/>
              </w:rPr>
              <w:t>)(2)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Shall list the title and names of all the nominated persons in front of the POA</w:t>
            </w:r>
            <w:r>
              <w:rPr>
                <w:sz w:val="16"/>
                <w:szCs w:val="16"/>
              </w:rPr>
              <w:t>, as well as deputies as applicable</w:t>
            </w:r>
            <w:r w:rsidRPr="00C728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bottom w:val="dashed" w:sz="4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Duties and responsibilities of:</w:t>
            </w:r>
          </w:p>
        </w:tc>
        <w:tc>
          <w:tcPr>
            <w:tcW w:w="892" w:type="pct"/>
            <w:tcBorders>
              <w:bottom w:val="dashed" w:sz="4" w:space="0" w:color="auto"/>
            </w:tcBorders>
            <w:shd w:val="clear" w:color="auto" w:fill="auto"/>
          </w:tcPr>
          <w:p w:rsidR="00BD6A46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21.A.143(a)(3)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21.A.145(c)(1)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21.A.145(c)(2)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Shall also include matters on which they may deal directly with the competent authority on behalf of the Organisation.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D6A46" w:rsidRPr="00C72856" w:rsidRDefault="00BD6A46" w:rsidP="00BD6A4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Accountable manager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D6A46" w:rsidRPr="00C72856" w:rsidRDefault="00BD6A46" w:rsidP="00BD6A4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lastRenderedPageBreak/>
              <w:t>Quality manager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D6A46" w:rsidRPr="00C72856" w:rsidRDefault="00BD6A46" w:rsidP="00BD6A4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Production manager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D6A46" w:rsidRPr="00C72856" w:rsidRDefault="00BD6A46" w:rsidP="00BD6A4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Safety manager</w:t>
            </w:r>
          </w:p>
        </w:tc>
        <w:tc>
          <w:tcPr>
            <w:tcW w:w="892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top w:val="dashed" w:sz="4" w:space="0" w:color="auto"/>
            </w:tcBorders>
            <w:shd w:val="clear" w:color="auto" w:fill="auto"/>
          </w:tcPr>
          <w:p w:rsidR="00BD6A46" w:rsidRPr="00C72856" w:rsidRDefault="00BD6A46" w:rsidP="00BD6A46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Any other manager related to POA</w:t>
            </w:r>
          </w:p>
        </w:tc>
        <w:tc>
          <w:tcPr>
            <w:tcW w:w="892" w:type="pct"/>
            <w:tcBorders>
              <w:top w:val="dashed" w:sz="4" w:space="0" w:color="auto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Organisation</w:t>
            </w:r>
            <w:r>
              <w:rPr>
                <w:sz w:val="16"/>
                <w:szCs w:val="16"/>
              </w:rPr>
              <w:t>al</w:t>
            </w:r>
            <w:r w:rsidRPr="00C72856">
              <w:rPr>
                <w:sz w:val="16"/>
                <w:szCs w:val="16"/>
              </w:rPr>
              <w:t xml:space="preserve"> chart 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21.A.143(a)(4)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21.A.145(c)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The org chart shall identify the reporting lines and nominated managers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3C3389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of SHT</w:t>
            </w:r>
            <w:r w:rsidR="00BD6A46" w:rsidRPr="00C72856">
              <w:rPr>
                <w:sz w:val="16"/>
                <w:szCs w:val="16"/>
              </w:rPr>
              <w:t xml:space="preserve"> 21 certifying staff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21.A.143(a)(5)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21.A.145(d)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This can also be an appendix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General description of the man-power resources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21.A.143(a)(6)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The general description of man-power resources shall identify the number of staff (headcount) related to POA activities under the scope of approval (i.e</w:t>
            </w:r>
            <w:proofErr w:type="gramStart"/>
            <w:r w:rsidRPr="00D447C5">
              <w:rPr>
                <w:sz w:val="16"/>
                <w:szCs w:val="16"/>
              </w:rPr>
              <w:t>.,</w:t>
            </w:r>
            <w:proofErr w:type="gramEnd"/>
            <w:r w:rsidRPr="00D447C5">
              <w:rPr>
                <w:sz w:val="16"/>
                <w:szCs w:val="16"/>
              </w:rPr>
              <w:t xml:space="preserve"> management personnel, certifying staff, incoming inspectors, manufacturing engineers, production personnel, quality inspectors, safety management team… This list is non exhaustive and should be adapted to each organisation</w:t>
            </w:r>
            <w:proofErr w:type="gramStart"/>
            <w:r w:rsidRPr="00D447C5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lastRenderedPageBreak/>
              <w:t xml:space="preserve">General description of the facilities </w:t>
            </w:r>
          </w:p>
        </w:tc>
        <w:tc>
          <w:tcPr>
            <w:tcW w:w="892" w:type="pct"/>
            <w:shd w:val="clear" w:color="auto" w:fill="auto"/>
          </w:tcPr>
          <w:p w:rsidR="00BD6A46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21.A.9(a)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21.A.143(a)(7)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 xml:space="preserve">21.A.145(a) 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Containing the address and details of each facility included in the scope of the POA (in the production organisation’s certificate of approval). A readable facility layout plan shall be included</w:t>
            </w:r>
            <w:r>
              <w:rPr>
                <w:sz w:val="16"/>
                <w:szCs w:val="16"/>
              </w:rPr>
              <w:t>.</w:t>
            </w:r>
          </w:p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If the organisation exercises privileges at any location that is not directly under the control of the legal entity and therefore not listed in the POA certificate (i.e</w:t>
            </w:r>
            <w:proofErr w:type="gramStart"/>
            <w:r w:rsidRPr="00D447C5">
              <w:rPr>
                <w:sz w:val="16"/>
                <w:szCs w:val="16"/>
              </w:rPr>
              <w:t>.,</w:t>
            </w:r>
            <w:proofErr w:type="gramEnd"/>
            <w:r w:rsidRPr="00D447C5">
              <w:rPr>
                <w:sz w:val="16"/>
                <w:szCs w:val="16"/>
              </w:rPr>
              <w:t xml:space="preserve"> issuance of EASA Form 1 at subcontractor facility), such locations also need to be identified under this chapter.</w:t>
            </w:r>
          </w:p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Scope of work</w:t>
            </w:r>
          </w:p>
        </w:tc>
        <w:tc>
          <w:tcPr>
            <w:tcW w:w="892" w:type="pct"/>
            <w:shd w:val="clear" w:color="auto" w:fill="auto"/>
          </w:tcPr>
          <w:p w:rsidR="00BD6A4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21.A.133(a)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21.A.143(a)(8)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21.A.151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The general scope of work relevant to the terms of approval shall be described here. Additionally</w:t>
            </w:r>
            <w:r>
              <w:rPr>
                <w:sz w:val="16"/>
                <w:szCs w:val="16"/>
              </w:rPr>
              <w:t>,</w:t>
            </w:r>
            <w:r w:rsidRPr="00C72856">
              <w:rPr>
                <w:sz w:val="16"/>
                <w:szCs w:val="16"/>
              </w:rPr>
              <w:t xml:space="preserve"> it should refer to the full list of P/N (part number) produced under the production approval, the capability list or to the database that gives the list.</w:t>
            </w:r>
            <w:r>
              <w:rPr>
                <w:sz w:val="16"/>
                <w:szCs w:val="16"/>
              </w:rPr>
              <w:t xml:space="preserve"> </w:t>
            </w:r>
            <w:r w:rsidRPr="00C72856">
              <w:rPr>
                <w:sz w:val="16"/>
                <w:szCs w:val="16"/>
              </w:rPr>
              <w:t xml:space="preserve">For the products, it should refer to the type certificate number. </w:t>
            </w:r>
          </w:p>
          <w:p w:rsidR="00BD6A4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In case of various DO/PO arrangements, a list of all DO/PO arrangements shall be included.</w:t>
            </w:r>
          </w:p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Notification procedure of organisational changes to Competent Authority.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21.A.143(a)(9)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21.A.147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21.A.148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21.A.149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21.A.153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Shall list all the changes identified as significant changes. Shall describe how each type (significant or not) of changes are managed.</w:t>
            </w:r>
          </w:p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It includes change of accountable manager, change of other nominated managers, change of location of facility or change of activity (scope) etc…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lastRenderedPageBreak/>
              <w:t>Amendment procedure of the exposition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21.A.143(a)(10)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21.A.143(c)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21.A.165(a)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It shall describe how and by whom are the Exposition and the associated documents updated.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 xml:space="preserve">Description of the </w:t>
            </w:r>
            <w:r>
              <w:rPr>
                <w:sz w:val="16"/>
                <w:szCs w:val="16"/>
              </w:rPr>
              <w:t>production management</w:t>
            </w:r>
            <w:r w:rsidRPr="00C72856">
              <w:rPr>
                <w:sz w:val="16"/>
                <w:szCs w:val="16"/>
              </w:rPr>
              <w:t xml:space="preserve"> system 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21.A.139(a)</w:t>
            </w:r>
          </w:p>
          <w:p w:rsidR="00BD6A46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21.A.139(b)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21.A.143(a)(11)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Overall description of the production management system, including both the quality management and the safety management element (i.e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structure of the documentation, policy, processes and procedures…)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Supplier/subcontractor list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21.A.143(a)(12)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 xml:space="preserve">It shall include the main suppliers list plus the reference to the full suppliers list if the list is too big. A change of such a main subcontractor may be treated as a significant change (21.A.147). Can also be put as an appendix. 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Flight test operations manual defining the organisation's policies and procedures in relation to flight test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21.A.143(a)(13)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C72856">
              <w:rPr>
                <w:sz w:val="16"/>
                <w:szCs w:val="16"/>
              </w:rPr>
              <w:t>f flight tests are to be conducted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Alternative means of compliance</w:t>
            </w:r>
          </w:p>
        </w:tc>
        <w:tc>
          <w:tcPr>
            <w:tcW w:w="892" w:type="pct"/>
            <w:tcBorders>
              <w:top w:val="nil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21.A.134A</w:t>
            </w:r>
          </w:p>
        </w:tc>
        <w:tc>
          <w:tcPr>
            <w:tcW w:w="687" w:type="pct"/>
            <w:tcBorders>
              <w:top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top w:val="nil"/>
              <w:right w:val="single" w:sz="12" w:space="0" w:color="auto"/>
            </w:tcBorders>
            <w:shd w:val="clear" w:color="auto" w:fill="auto"/>
          </w:tcPr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 xml:space="preserve">If an organisation wishes to use alternative means of compliance, a procedure in the POE needs to describe the process for developing such AltMoC. The organisation may use those alternative means of compliance subject to prior approval from the competent authority.  </w:t>
            </w:r>
          </w:p>
          <w:p w:rsidR="00BD6A46" w:rsidRPr="00D447C5" w:rsidRDefault="00BD6A46" w:rsidP="0013045E">
            <w:pPr>
              <w:rPr>
                <w:sz w:val="16"/>
                <w:szCs w:val="16"/>
              </w:rPr>
            </w:pPr>
          </w:p>
          <w:p w:rsidR="00BD6A46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 xml:space="preserve">Mark this chapter as not applicable (N/A) if not intended to make use of AltMoC. </w:t>
            </w:r>
          </w:p>
        </w:tc>
        <w:tc>
          <w:tcPr>
            <w:tcW w:w="1244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  <w:trHeight w:val="271"/>
        </w:trPr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left w:val="nil"/>
              <w:bottom w:val="nil"/>
              <w:right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gridAfter w:val="1"/>
          <w:wAfter w:w="76" w:type="pct"/>
          <w:cantSplit/>
          <w:trHeight w:val="271"/>
        </w:trPr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9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gridAfter w:val="1"/>
          <w:wAfter w:w="76" w:type="pct"/>
          <w:cantSplit/>
        </w:trPr>
        <w:tc>
          <w:tcPr>
            <w:tcW w:w="80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6A46" w:rsidRDefault="00BD6A46" w:rsidP="001304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Production management system – </w:t>
            </w:r>
          </w:p>
          <w:p w:rsidR="00BD6A46" w:rsidRPr="00C72856" w:rsidRDefault="00BD6A46" w:rsidP="001304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Quality management element</w:t>
            </w:r>
          </w:p>
        </w:tc>
        <w:tc>
          <w:tcPr>
            <w:tcW w:w="1578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931" w:type="pct"/>
            <w:gridSpan w:val="2"/>
            <w:tcBorders>
              <w:top w:val="nil"/>
              <w:left w:val="nil"/>
              <w:right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Distribution of the documents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21.A.139(a)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21.A.165(a)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Document issue, approval or change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21.A.139(d)(2)(i)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The creation of document (by whom, to whom, numbering, document structure…) shall also be covered in this paragraph.</w:t>
            </w:r>
          </w:p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How the changes are followed and highlighted shall also be covered.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Vendor and subcontractor assessment audit and control</w:t>
            </w:r>
          </w:p>
        </w:tc>
        <w:tc>
          <w:tcPr>
            <w:tcW w:w="892" w:type="pct"/>
            <w:shd w:val="clear" w:color="auto" w:fill="auto"/>
          </w:tcPr>
          <w:p w:rsidR="00BD6A46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21.A.9(b)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21.A.139(d)(2)(ii)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Shall also include the evaluation and the acceptance criteria.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 xml:space="preserve">Verification that incoming products, parts, materials, and equipment, including items supplied new or used by buyers of products, are as specified in the applicable design </w:t>
            </w:r>
            <w:proofErr w:type="gramStart"/>
            <w:r w:rsidRPr="00C72856">
              <w:rPr>
                <w:sz w:val="16"/>
                <w:szCs w:val="16"/>
              </w:rPr>
              <w:t>data</w:t>
            </w:r>
            <w:proofErr w:type="gramEnd"/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21.A.139(d)(2)(iii)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It is the description of the incoming material inspection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lastRenderedPageBreak/>
              <w:t>Identification and traceability</w:t>
            </w:r>
          </w:p>
        </w:tc>
        <w:tc>
          <w:tcPr>
            <w:tcW w:w="892" w:type="pct"/>
            <w:shd w:val="clear" w:color="auto" w:fill="auto"/>
          </w:tcPr>
          <w:p w:rsidR="00BD6A46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21.A.139(d)(2)(iv)</w:t>
            </w:r>
          </w:p>
          <w:p w:rsidR="00BD6A46" w:rsidRPr="00BD6A46" w:rsidRDefault="00BD6A46" w:rsidP="0013045E">
            <w:pPr>
              <w:rPr>
                <w:sz w:val="16"/>
                <w:szCs w:val="16"/>
              </w:rPr>
            </w:pPr>
            <w:r w:rsidRPr="00BD6A46">
              <w:rPr>
                <w:sz w:val="16"/>
                <w:szCs w:val="16"/>
              </w:rPr>
              <w:t>21.A.801</w:t>
            </w:r>
          </w:p>
          <w:p w:rsidR="00BD6A46" w:rsidRPr="00BD6A46" w:rsidRDefault="00BD6A46" w:rsidP="0013045E">
            <w:pPr>
              <w:rPr>
                <w:sz w:val="16"/>
                <w:szCs w:val="16"/>
              </w:rPr>
            </w:pPr>
            <w:r w:rsidRPr="00BD6A46">
              <w:rPr>
                <w:sz w:val="16"/>
                <w:szCs w:val="16"/>
              </w:rPr>
              <w:t>21.A.804</w:t>
            </w:r>
          </w:p>
          <w:p w:rsidR="00BD6A46" w:rsidRPr="00BD6A46" w:rsidRDefault="00BD6A46" w:rsidP="0013045E">
            <w:pPr>
              <w:rPr>
                <w:sz w:val="16"/>
                <w:szCs w:val="16"/>
              </w:rPr>
            </w:pPr>
            <w:r w:rsidRPr="00BD6A46">
              <w:rPr>
                <w:sz w:val="16"/>
                <w:szCs w:val="16"/>
              </w:rPr>
              <w:t>21.A.805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BD6A46">
              <w:rPr>
                <w:sz w:val="16"/>
                <w:szCs w:val="16"/>
              </w:rPr>
              <w:t>21.A.807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Manufacturing processes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21.A.139(d)(2)(v)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21.A.145(a)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21.A.163(a)</w:t>
            </w:r>
          </w:p>
          <w:p w:rsidR="00BD6A46" w:rsidRPr="008C590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21.A.165(b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Shall also include the management of the production documentation.</w:t>
            </w:r>
          </w:p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Special processes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21.A.139(d)(2)(v)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21.A.145(</w:t>
            </w:r>
            <w:r>
              <w:rPr>
                <w:sz w:val="16"/>
                <w:szCs w:val="16"/>
              </w:rPr>
              <w:t>a</w:t>
            </w:r>
            <w:r w:rsidRPr="00A745C1">
              <w:rPr>
                <w:sz w:val="16"/>
                <w:szCs w:val="16"/>
              </w:rPr>
              <w:t>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The special processes shall be mentioned and described if any.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Inspection and testing, including production flight tests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21.A.139(d)(2)(vi)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Calibration of tools, jigs and test equipment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21.A.139(d)(2)(vii)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21.A.145(a)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Shall include the acceptance, the use, the control and the calibration of the tools and equipment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Non-conforming item control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21.A.139(d)(2)(viii)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Including concessions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BE0574" w:rsidRDefault="00BD6A46" w:rsidP="0013045E">
            <w:pPr>
              <w:rPr>
                <w:sz w:val="16"/>
                <w:szCs w:val="16"/>
              </w:rPr>
            </w:pPr>
            <w:r w:rsidRPr="00BE0574">
              <w:rPr>
                <w:sz w:val="16"/>
                <w:szCs w:val="16"/>
              </w:rPr>
              <w:lastRenderedPageBreak/>
              <w:t>Airworthiness co-ordination with applicant for, or holder of, the design approval</w:t>
            </w:r>
          </w:p>
        </w:tc>
        <w:tc>
          <w:tcPr>
            <w:tcW w:w="892" w:type="pct"/>
            <w:shd w:val="clear" w:color="auto" w:fill="auto"/>
          </w:tcPr>
          <w:p w:rsidR="00BD6A46" w:rsidRPr="00BE0574" w:rsidRDefault="00BD6A46" w:rsidP="0013045E">
            <w:pPr>
              <w:rPr>
                <w:sz w:val="16"/>
                <w:szCs w:val="16"/>
              </w:rPr>
            </w:pPr>
            <w:r w:rsidRPr="00BE0574">
              <w:rPr>
                <w:sz w:val="16"/>
                <w:szCs w:val="16"/>
              </w:rPr>
              <w:t>21.A.133(b)</w:t>
            </w:r>
          </w:p>
          <w:p w:rsidR="00BD6A46" w:rsidRPr="00BE0574" w:rsidRDefault="00BD6A46" w:rsidP="0013045E">
            <w:pPr>
              <w:rPr>
                <w:sz w:val="16"/>
                <w:szCs w:val="16"/>
              </w:rPr>
            </w:pPr>
            <w:r w:rsidRPr="00BE0574">
              <w:rPr>
                <w:sz w:val="16"/>
                <w:szCs w:val="16"/>
              </w:rPr>
              <w:t>21.A.133(d)(1)</w:t>
            </w:r>
          </w:p>
          <w:p w:rsidR="00BD6A46" w:rsidRPr="00BE0574" w:rsidRDefault="00BD6A46" w:rsidP="0013045E">
            <w:pPr>
              <w:rPr>
                <w:sz w:val="16"/>
                <w:szCs w:val="16"/>
              </w:rPr>
            </w:pPr>
            <w:r w:rsidRPr="00BE0574">
              <w:rPr>
                <w:sz w:val="16"/>
                <w:szCs w:val="16"/>
              </w:rPr>
              <w:t>21.A.139(d)(2)(ix)(A)</w:t>
            </w:r>
          </w:p>
          <w:p w:rsidR="00BD6A46" w:rsidRPr="00BE0574" w:rsidRDefault="00BD6A46" w:rsidP="0013045E">
            <w:pPr>
              <w:rPr>
                <w:sz w:val="16"/>
                <w:szCs w:val="16"/>
              </w:rPr>
            </w:pPr>
            <w:r w:rsidRPr="00BE0574">
              <w:rPr>
                <w:sz w:val="16"/>
                <w:szCs w:val="16"/>
              </w:rPr>
              <w:t>21.A.145(b)</w:t>
            </w:r>
          </w:p>
          <w:p w:rsidR="00BD6A46" w:rsidRPr="00BE0574" w:rsidRDefault="00BD6A46" w:rsidP="0013045E">
            <w:pPr>
              <w:rPr>
                <w:sz w:val="16"/>
                <w:szCs w:val="16"/>
              </w:rPr>
            </w:pPr>
            <w:r w:rsidRPr="00BE0574">
              <w:rPr>
                <w:sz w:val="16"/>
                <w:szCs w:val="16"/>
              </w:rPr>
              <w:t>21.A.165(d)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This paragraph shall also refer to the DO/PO arrangement if any (unless this is included in the “scope of work” chapter).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C72856">
              <w:rPr>
                <w:sz w:val="16"/>
                <w:szCs w:val="16"/>
              </w:rPr>
              <w:t>ompletion and retention</w:t>
            </w:r>
            <w:r>
              <w:rPr>
                <w:sz w:val="16"/>
                <w:szCs w:val="16"/>
              </w:rPr>
              <w:t xml:space="preserve"> of records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21.A.5(b)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 xml:space="preserve">21.A.5(c) 21.A.139(d)(2)(x) 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It is dealing with technical records and it shall include the management of electronic records if any.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C72856">
              <w:rPr>
                <w:sz w:val="16"/>
                <w:szCs w:val="16"/>
              </w:rPr>
              <w:t>ompetence and qualification</w:t>
            </w:r>
            <w:r>
              <w:rPr>
                <w:sz w:val="16"/>
                <w:szCs w:val="16"/>
              </w:rPr>
              <w:t>s of personnel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21.A.5(d)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21.A.5(e)(1)</w:t>
            </w:r>
          </w:p>
          <w:p w:rsidR="00BD6A46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21.A.5(e)(2)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21.A.139(d)(2)(xi)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21.A.145(c)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 xml:space="preserve">21.A.145(d) 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 xml:space="preserve">This should describe the general requirement for accepting anybody working in POA holder organisation. The training process of these persons shall be described (minimum training and also regular training). </w:t>
            </w:r>
          </w:p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If there are special process or NDT in the scope, the specific requirements for training and qualification should also be described.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Certifying staff qualification and training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21.A.5(d)</w:t>
            </w:r>
          </w:p>
          <w:p w:rsidR="00BD6A46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21.A.5(e)(1)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21.A.145(d)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This paragraph is specifically reserved for certifying staff, with qualification requirements, training needs, nomination, records and authorization.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lastRenderedPageBreak/>
              <w:t>Issue of airworthiness release documents</w:t>
            </w:r>
          </w:p>
        </w:tc>
        <w:tc>
          <w:tcPr>
            <w:tcW w:w="892" w:type="pct"/>
            <w:shd w:val="clear" w:color="auto" w:fill="auto"/>
          </w:tcPr>
          <w:p w:rsidR="00BD6A46" w:rsidRDefault="00BD6A46" w:rsidP="0013045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21.A.139(d)(1)</w:t>
            </w:r>
          </w:p>
          <w:p w:rsidR="00BD6A46" w:rsidRPr="00A745C1" w:rsidRDefault="00BD6A46" w:rsidP="0013045E">
            <w:pPr>
              <w:rPr>
                <w:sz w:val="16"/>
                <w:szCs w:val="16"/>
                <w:lang w:val="it-IT"/>
              </w:rPr>
            </w:pPr>
            <w:r w:rsidRPr="00A745C1">
              <w:rPr>
                <w:sz w:val="16"/>
                <w:szCs w:val="16"/>
                <w:lang w:val="it-IT"/>
              </w:rPr>
              <w:t>21.A.139(d)(2)(xii)</w:t>
            </w:r>
          </w:p>
          <w:p w:rsidR="00BD6A46" w:rsidRPr="00A745C1" w:rsidRDefault="00BD6A46" w:rsidP="0013045E">
            <w:pPr>
              <w:rPr>
                <w:sz w:val="16"/>
                <w:szCs w:val="16"/>
                <w:lang w:val="it-IT"/>
              </w:rPr>
            </w:pPr>
            <w:r w:rsidRPr="00A745C1">
              <w:rPr>
                <w:sz w:val="16"/>
                <w:szCs w:val="16"/>
                <w:lang w:val="it-IT"/>
              </w:rPr>
              <w:t>21.A.163</w:t>
            </w:r>
          </w:p>
          <w:p w:rsidR="00BD6A46" w:rsidRPr="00A745C1" w:rsidRDefault="00BD6A46" w:rsidP="0013045E">
            <w:pPr>
              <w:rPr>
                <w:sz w:val="16"/>
                <w:szCs w:val="16"/>
                <w:lang w:val="it-IT"/>
              </w:rPr>
            </w:pPr>
            <w:r w:rsidRPr="00A745C1">
              <w:rPr>
                <w:sz w:val="16"/>
                <w:szCs w:val="16"/>
                <w:lang w:val="it-IT"/>
              </w:rPr>
              <w:t>21.A.165(c)</w:t>
            </w:r>
          </w:p>
          <w:p w:rsidR="00BD6A46" w:rsidRPr="00A745C1" w:rsidRDefault="00BD6A46" w:rsidP="0013045E">
            <w:pPr>
              <w:rPr>
                <w:sz w:val="16"/>
                <w:szCs w:val="16"/>
                <w:lang w:val="it-IT"/>
              </w:rPr>
            </w:pPr>
            <w:r w:rsidRPr="00A745C1">
              <w:rPr>
                <w:sz w:val="16"/>
                <w:szCs w:val="16"/>
                <w:lang w:val="it-IT"/>
              </w:rPr>
              <w:t>21.A.165(e)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  <w:lang w:val="it-IT"/>
              </w:rPr>
            </w:pPr>
          </w:p>
          <w:p w:rsidR="00BD6A46" w:rsidRPr="00C72856" w:rsidRDefault="00BD6A46" w:rsidP="0013045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  <w:lang w:val="it-IT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Handling, storage and packing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21.A.139(d)(2)(xiii)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bottom w:val="dashed" w:sz="4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Internal quality audits and resulting corrective actions</w:t>
            </w:r>
          </w:p>
        </w:tc>
        <w:tc>
          <w:tcPr>
            <w:tcW w:w="892" w:type="pct"/>
            <w:tcBorders>
              <w:bottom w:val="dashed" w:sz="4" w:space="0" w:color="auto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21.A.139(d)(2)(xiv)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</w:t>
            </w:r>
            <w:r w:rsidRPr="0051071C">
              <w:rPr>
                <w:sz w:val="16"/>
                <w:szCs w:val="16"/>
              </w:rPr>
              <w:t>e)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21.A.158</w:t>
            </w:r>
          </w:p>
        </w:tc>
        <w:tc>
          <w:tcPr>
            <w:tcW w:w="687" w:type="pct"/>
            <w:tcBorders>
              <w:bottom w:val="dashed" w:sz="4" w:space="0" w:color="auto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top w:val="dashed" w:sz="4" w:space="0" w:color="auto"/>
            </w:tcBorders>
            <w:shd w:val="clear" w:color="auto" w:fill="auto"/>
          </w:tcPr>
          <w:p w:rsidR="00BD6A46" w:rsidRPr="00C72856" w:rsidRDefault="00BD6A46" w:rsidP="00BD6A46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Quality audit of processes</w:t>
            </w:r>
          </w:p>
          <w:p w:rsidR="00BD6A46" w:rsidRPr="00C72856" w:rsidRDefault="00BD6A46" w:rsidP="00BD6A46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Quality audit of product</w:t>
            </w:r>
          </w:p>
          <w:p w:rsidR="00BD6A46" w:rsidRPr="00C72856" w:rsidRDefault="00BD6A46" w:rsidP="00BD6A46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Quality audit remedial action procedure</w:t>
            </w:r>
          </w:p>
          <w:p w:rsidR="00BD6A46" w:rsidRPr="00C72856" w:rsidRDefault="00BD6A46" w:rsidP="00BD6A46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Quality audit personnel</w:t>
            </w:r>
          </w:p>
          <w:p w:rsidR="00BD6A46" w:rsidRPr="00C72856" w:rsidRDefault="00BD6A46" w:rsidP="00BD6A46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Planning for POA compliance audits</w:t>
            </w:r>
          </w:p>
        </w:tc>
        <w:tc>
          <w:tcPr>
            <w:tcW w:w="892" w:type="pct"/>
            <w:tcBorders>
              <w:top w:val="dashed" w:sz="4" w:space="0" w:color="auto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dashed" w:sz="4" w:space="0" w:color="auto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The quality audit of processes shall also cover the audit of special processes if any.</w:t>
            </w:r>
          </w:p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 xml:space="preserve">These are the audits procedures to cover the scope of </w:t>
            </w:r>
            <w:r w:rsidR="00F871FA" w:rsidRPr="00F871FA">
              <w:rPr>
                <w:sz w:val="16"/>
                <w:szCs w:val="16"/>
              </w:rPr>
              <w:t>SHT</w:t>
            </w:r>
            <w:r w:rsidRPr="00F871FA">
              <w:rPr>
                <w:sz w:val="16"/>
                <w:szCs w:val="16"/>
              </w:rPr>
              <w:t xml:space="preserve"> 21 applicable subparts </w:t>
            </w:r>
            <w:r w:rsidRPr="00C72856">
              <w:rPr>
                <w:sz w:val="16"/>
                <w:szCs w:val="16"/>
              </w:rPr>
              <w:t>in order to prove the compliance with the regulation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Work within the terms of approval performed at any location other than the approved facilities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21.A.139(d)(2)(xv)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Also called outlocated work.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lastRenderedPageBreak/>
              <w:t>Work carried out after completion of production but prior to delivery, to maintain the aircraft in a condition for safe operation</w:t>
            </w:r>
          </w:p>
        </w:tc>
        <w:tc>
          <w:tcPr>
            <w:tcW w:w="892" w:type="pct"/>
            <w:shd w:val="clear" w:color="auto" w:fill="auto"/>
          </w:tcPr>
          <w:p w:rsidR="00BD6A46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21.A.139(d)(2)(xvi)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21.A.165(e)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This is applicable only for complete aircraft.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Issue of permit to fly and approval of associated flight conditions</w:t>
            </w:r>
          </w:p>
        </w:tc>
        <w:tc>
          <w:tcPr>
            <w:tcW w:w="892" w:type="pct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21.A.139(d)(2)(xvii)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21.A.165(f)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21.A.165(g)</w:t>
            </w:r>
          </w:p>
        </w:tc>
        <w:tc>
          <w:tcPr>
            <w:tcW w:w="687" w:type="pct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This is applicable only for complete aircraft.</w:t>
            </w: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13045E">
        <w:trPr>
          <w:cantSplit/>
        </w:trPr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Control of critical parts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21.A.139(d)(3)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37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</w:tbl>
    <w:p w:rsidR="00BD6A46" w:rsidRDefault="00BD6A46" w:rsidP="00BD6A46"/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2610"/>
        <w:gridCol w:w="2060"/>
        <w:gridCol w:w="4121"/>
        <w:gridCol w:w="3818"/>
      </w:tblGrid>
      <w:tr w:rsidR="00BD6A46" w:rsidRPr="00C72856" w:rsidTr="00BD6A46">
        <w:trPr>
          <w:cantSplit/>
          <w:trHeight w:val="744"/>
        </w:trPr>
        <w:tc>
          <w:tcPr>
            <w:tcW w:w="2468" w:type="dxa"/>
            <w:tcBorders>
              <w:right w:val="single" w:sz="4" w:space="0" w:color="auto"/>
            </w:tcBorders>
            <w:shd w:val="clear" w:color="auto" w:fill="auto"/>
          </w:tcPr>
          <w:p w:rsidR="00BD6A46" w:rsidRDefault="00BD6A46" w:rsidP="001304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Production management system –</w:t>
            </w:r>
          </w:p>
          <w:p w:rsidR="00BD6A46" w:rsidRPr="00C72856" w:rsidRDefault="00BD6A46" w:rsidP="001304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Safety management element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732"/>
        </w:trPr>
        <w:tc>
          <w:tcPr>
            <w:tcW w:w="2468" w:type="dxa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management element</w:t>
            </w:r>
          </w:p>
        </w:tc>
        <w:tc>
          <w:tcPr>
            <w:tcW w:w="2610" w:type="dxa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21.A.139(a)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21.A.139(b)</w:t>
            </w:r>
          </w:p>
        </w:tc>
        <w:tc>
          <w:tcPr>
            <w:tcW w:w="2060" w:type="dxa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auto"/>
          </w:tcPr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The safety management element shall be documented and tailored to each organisation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576"/>
        </w:trPr>
        <w:tc>
          <w:tcPr>
            <w:tcW w:w="2468" w:type="dxa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policy and related safety objectives</w:t>
            </w:r>
          </w:p>
        </w:tc>
        <w:tc>
          <w:tcPr>
            <w:tcW w:w="2610" w:type="dxa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21.A.139(c)(1)</w:t>
            </w:r>
          </w:p>
        </w:tc>
        <w:tc>
          <w:tcPr>
            <w:tcW w:w="2060" w:type="dxa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auto"/>
          </w:tcPr>
          <w:p w:rsidR="00BD6A46" w:rsidRPr="00D447C5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732"/>
        </w:trPr>
        <w:tc>
          <w:tcPr>
            <w:tcW w:w="2468" w:type="dxa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safety personnel</w:t>
            </w:r>
          </w:p>
        </w:tc>
        <w:tc>
          <w:tcPr>
            <w:tcW w:w="2610" w:type="dxa"/>
            <w:shd w:val="clear" w:color="auto" w:fill="auto"/>
          </w:tcPr>
          <w:p w:rsidR="00BD6A46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</w:t>
            </w:r>
            <w:r>
              <w:rPr>
                <w:sz w:val="16"/>
                <w:szCs w:val="16"/>
              </w:rPr>
              <w:t>c)(2)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21.A.145(c)</w:t>
            </w:r>
          </w:p>
        </w:tc>
        <w:tc>
          <w:tcPr>
            <w:tcW w:w="2060" w:type="dxa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auto"/>
          </w:tcPr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Safety manager and safety board, and safety action group as applicable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792"/>
        </w:trPr>
        <w:tc>
          <w:tcPr>
            <w:tcW w:w="2468" w:type="dxa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Safety risk management</w:t>
            </w:r>
          </w:p>
        </w:tc>
        <w:tc>
          <w:tcPr>
            <w:tcW w:w="2610" w:type="dxa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</w:t>
            </w:r>
            <w:r>
              <w:rPr>
                <w:sz w:val="16"/>
                <w:szCs w:val="16"/>
              </w:rPr>
              <w:t>c)(3)</w:t>
            </w:r>
          </w:p>
        </w:tc>
        <w:tc>
          <w:tcPr>
            <w:tcW w:w="2060" w:type="dxa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auto"/>
          </w:tcPr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Identification of safety hazards, evaluation and management of associated risks, including actions to mitigate the risks and verify their effectiveness.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780"/>
        </w:trPr>
        <w:tc>
          <w:tcPr>
            <w:tcW w:w="2468" w:type="dxa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assurance process</w:t>
            </w:r>
          </w:p>
        </w:tc>
        <w:tc>
          <w:tcPr>
            <w:tcW w:w="2610" w:type="dxa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</w:t>
            </w:r>
            <w:r>
              <w:rPr>
                <w:sz w:val="16"/>
                <w:szCs w:val="16"/>
              </w:rPr>
              <w:t>c)(4)</w:t>
            </w:r>
          </w:p>
        </w:tc>
        <w:tc>
          <w:tcPr>
            <w:tcW w:w="2060" w:type="dxa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auto"/>
          </w:tcPr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 xml:space="preserve">Effective management of changes in the organisational structure, facilities, scope of work, personnel, documentation, policies and procedures, etc. 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372"/>
        </w:trPr>
        <w:tc>
          <w:tcPr>
            <w:tcW w:w="2468" w:type="dxa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promotion</w:t>
            </w:r>
          </w:p>
        </w:tc>
        <w:tc>
          <w:tcPr>
            <w:tcW w:w="2610" w:type="dxa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</w:t>
            </w:r>
            <w:r>
              <w:rPr>
                <w:sz w:val="16"/>
                <w:szCs w:val="16"/>
              </w:rPr>
              <w:t>c)(5)</w:t>
            </w:r>
          </w:p>
        </w:tc>
        <w:tc>
          <w:tcPr>
            <w:tcW w:w="2060" w:type="dxa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auto"/>
          </w:tcPr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Training and education, communication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2221"/>
        </w:trPr>
        <w:tc>
          <w:tcPr>
            <w:tcW w:w="2468" w:type="dxa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Occurrence reporting</w:t>
            </w:r>
          </w:p>
        </w:tc>
        <w:tc>
          <w:tcPr>
            <w:tcW w:w="2610" w:type="dxa"/>
            <w:shd w:val="clear" w:color="auto" w:fill="auto"/>
          </w:tcPr>
          <w:p w:rsidR="00BD6A46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</w:t>
            </w:r>
            <w:r>
              <w:rPr>
                <w:sz w:val="16"/>
                <w:szCs w:val="16"/>
              </w:rPr>
              <w:t>3A(b)</w:t>
            </w:r>
          </w:p>
          <w:p w:rsidR="00BD6A4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21.A.3A(c)</w:t>
            </w:r>
          </w:p>
          <w:p w:rsidR="00BD6A4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21.A.3A(d)</w:t>
            </w:r>
          </w:p>
          <w:p w:rsidR="00BD6A4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21.A.3A(e)</w:t>
            </w:r>
          </w:p>
          <w:p w:rsidR="00BD6A4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21.A.3A(f)</w:t>
            </w:r>
          </w:p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21.A.139(</w:t>
            </w:r>
            <w:r>
              <w:rPr>
                <w:sz w:val="16"/>
                <w:szCs w:val="16"/>
              </w:rPr>
              <w:t>c)(6)</w:t>
            </w:r>
          </w:p>
        </w:tc>
        <w:tc>
          <w:tcPr>
            <w:tcW w:w="2060" w:type="dxa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auto"/>
          </w:tcPr>
          <w:p w:rsidR="00BD6A46" w:rsidRPr="00D447C5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348"/>
        </w:trPr>
        <w:tc>
          <w:tcPr>
            <w:tcW w:w="2468" w:type="dxa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 monitoring function</w:t>
            </w:r>
          </w:p>
        </w:tc>
        <w:tc>
          <w:tcPr>
            <w:tcW w:w="2610" w:type="dxa"/>
            <w:shd w:val="clear" w:color="auto" w:fill="auto"/>
          </w:tcPr>
          <w:p w:rsidR="00BD6A46" w:rsidRPr="00A745C1" w:rsidRDefault="00BD6A46" w:rsidP="0013045E">
            <w:pPr>
              <w:rPr>
                <w:sz w:val="16"/>
                <w:szCs w:val="16"/>
              </w:rPr>
            </w:pPr>
            <w:r w:rsidRPr="00A745C1">
              <w:rPr>
                <w:sz w:val="16"/>
                <w:szCs w:val="16"/>
              </w:rPr>
              <w:t>21.A.1</w:t>
            </w:r>
            <w:r>
              <w:rPr>
                <w:sz w:val="16"/>
                <w:szCs w:val="16"/>
              </w:rPr>
              <w:t>39(e)</w:t>
            </w:r>
          </w:p>
        </w:tc>
        <w:tc>
          <w:tcPr>
            <w:tcW w:w="2060" w:type="dxa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732"/>
        </w:trPr>
        <w:tc>
          <w:tcPr>
            <w:tcW w:w="2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left w:val="nil"/>
              <w:bottom w:val="nil"/>
              <w:right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372"/>
        </w:trPr>
        <w:tc>
          <w:tcPr>
            <w:tcW w:w="2468" w:type="dxa"/>
            <w:tcBorders>
              <w:right w:val="single" w:sz="4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b/>
                <w:sz w:val="16"/>
                <w:szCs w:val="16"/>
              </w:rPr>
            </w:pPr>
            <w:r w:rsidRPr="00C72856">
              <w:rPr>
                <w:b/>
                <w:sz w:val="16"/>
                <w:szCs w:val="16"/>
              </w:rPr>
              <w:t>Appendixes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360"/>
        </w:trPr>
        <w:tc>
          <w:tcPr>
            <w:tcW w:w="2468" w:type="dxa"/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Capability List</w:t>
            </w:r>
          </w:p>
        </w:tc>
        <w:tc>
          <w:tcPr>
            <w:tcW w:w="2610" w:type="dxa"/>
            <w:shd w:val="clear" w:color="auto" w:fill="auto"/>
          </w:tcPr>
          <w:p w:rsidR="00BD6A46" w:rsidRPr="00C72856" w:rsidRDefault="00BD6A46" w:rsidP="0013045E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If applicable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792"/>
        </w:trPr>
        <w:tc>
          <w:tcPr>
            <w:tcW w:w="2468" w:type="dxa"/>
            <w:shd w:val="clear" w:color="auto" w:fill="auto"/>
          </w:tcPr>
          <w:p w:rsidR="00BD6A46" w:rsidRPr="00C72856" w:rsidRDefault="00BD6A46" w:rsidP="004C1E7A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 xml:space="preserve">Cross reference table between </w:t>
            </w:r>
            <w:r w:rsidR="004C1E7A">
              <w:rPr>
                <w:sz w:val="16"/>
                <w:szCs w:val="16"/>
              </w:rPr>
              <w:t>SHT</w:t>
            </w:r>
            <w:r w:rsidRPr="00C72856">
              <w:rPr>
                <w:sz w:val="16"/>
                <w:szCs w:val="16"/>
              </w:rPr>
              <w:t xml:space="preserve"> 21 requirements and internal documents.</w:t>
            </w:r>
          </w:p>
        </w:tc>
        <w:tc>
          <w:tcPr>
            <w:tcW w:w="2610" w:type="dxa"/>
            <w:shd w:val="clear" w:color="auto" w:fill="auto"/>
          </w:tcPr>
          <w:p w:rsidR="00BD6A46" w:rsidRPr="00C72856" w:rsidRDefault="00BD6A46" w:rsidP="0013045E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  <w:r w:rsidRPr="00C72856">
              <w:rPr>
                <w:sz w:val="16"/>
                <w:szCs w:val="16"/>
              </w:rPr>
              <w:t>This is not applicable in case there are no other internal POA documents than POE.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360"/>
        </w:trPr>
        <w:tc>
          <w:tcPr>
            <w:tcW w:w="2468" w:type="dxa"/>
            <w:shd w:val="clear" w:color="auto" w:fill="auto"/>
          </w:tcPr>
          <w:p w:rsidR="00BD6A46" w:rsidRPr="00C72856" w:rsidRDefault="004C1E7A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SHGM</w:t>
            </w:r>
            <w:r w:rsidR="00BD6A46">
              <w:rPr>
                <w:sz w:val="16"/>
                <w:szCs w:val="16"/>
              </w:rPr>
              <w:t xml:space="preserve"> Form 1 template</w:t>
            </w:r>
          </w:p>
        </w:tc>
        <w:tc>
          <w:tcPr>
            <w:tcW w:w="2610" w:type="dxa"/>
            <w:shd w:val="clear" w:color="auto" w:fill="auto"/>
          </w:tcPr>
          <w:p w:rsidR="00BD6A46" w:rsidRPr="00C72856" w:rsidRDefault="00BD6A46" w:rsidP="001304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Appendix I</w:t>
            </w:r>
          </w:p>
        </w:tc>
        <w:tc>
          <w:tcPr>
            <w:tcW w:w="2060" w:type="dxa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auto"/>
          </w:tcPr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The template shall be adapted to each organisation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744"/>
        </w:trPr>
        <w:tc>
          <w:tcPr>
            <w:tcW w:w="2468" w:type="dxa"/>
            <w:shd w:val="clear" w:color="auto" w:fill="auto"/>
          </w:tcPr>
          <w:p w:rsidR="00BD6A46" w:rsidRDefault="004C1E7A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SHGM</w:t>
            </w:r>
            <w:r w:rsidR="00BD6A46">
              <w:rPr>
                <w:sz w:val="16"/>
                <w:szCs w:val="16"/>
              </w:rPr>
              <w:t xml:space="preserve"> Form 20b template</w:t>
            </w:r>
          </w:p>
        </w:tc>
        <w:tc>
          <w:tcPr>
            <w:tcW w:w="2610" w:type="dxa"/>
            <w:shd w:val="clear" w:color="auto" w:fill="auto"/>
          </w:tcPr>
          <w:p w:rsidR="00BD6A46" w:rsidRDefault="00BD6A46" w:rsidP="001304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Appendix IV</w:t>
            </w:r>
          </w:p>
        </w:tc>
        <w:tc>
          <w:tcPr>
            <w:tcW w:w="2060" w:type="dxa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auto"/>
          </w:tcPr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If applicable.</w:t>
            </w:r>
          </w:p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The template shall be adapted to each organisation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732"/>
        </w:trPr>
        <w:tc>
          <w:tcPr>
            <w:tcW w:w="2468" w:type="dxa"/>
            <w:shd w:val="clear" w:color="auto" w:fill="auto"/>
          </w:tcPr>
          <w:p w:rsidR="00BD6A46" w:rsidRDefault="004C1E7A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SHGM</w:t>
            </w:r>
            <w:r w:rsidR="00BD6A46">
              <w:rPr>
                <w:sz w:val="16"/>
                <w:szCs w:val="16"/>
              </w:rPr>
              <w:t xml:space="preserve"> Form 52 template</w:t>
            </w:r>
          </w:p>
        </w:tc>
        <w:tc>
          <w:tcPr>
            <w:tcW w:w="2610" w:type="dxa"/>
            <w:shd w:val="clear" w:color="auto" w:fill="auto"/>
          </w:tcPr>
          <w:p w:rsidR="00BD6A46" w:rsidRDefault="00BD6A46" w:rsidP="001304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Appendix VIII</w:t>
            </w:r>
          </w:p>
        </w:tc>
        <w:tc>
          <w:tcPr>
            <w:tcW w:w="2060" w:type="dxa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auto"/>
          </w:tcPr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If applicable.</w:t>
            </w:r>
          </w:p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The template shall be adapted to each organisation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  <w:tr w:rsidR="00BD6A46" w:rsidRPr="00C72856" w:rsidTr="00BD6A46">
        <w:trPr>
          <w:cantSplit/>
          <w:trHeight w:val="732"/>
        </w:trPr>
        <w:tc>
          <w:tcPr>
            <w:tcW w:w="2468" w:type="dxa"/>
            <w:shd w:val="clear" w:color="auto" w:fill="auto"/>
          </w:tcPr>
          <w:p w:rsidR="00BD6A46" w:rsidRDefault="004C1E7A" w:rsidP="0013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SHGM</w:t>
            </w:r>
            <w:r w:rsidR="00BD6A46">
              <w:rPr>
                <w:sz w:val="16"/>
                <w:szCs w:val="16"/>
              </w:rPr>
              <w:t xml:space="preserve"> Form 53 template</w:t>
            </w:r>
          </w:p>
        </w:tc>
        <w:tc>
          <w:tcPr>
            <w:tcW w:w="2610" w:type="dxa"/>
            <w:shd w:val="clear" w:color="auto" w:fill="auto"/>
          </w:tcPr>
          <w:p w:rsidR="00BD6A46" w:rsidRDefault="00BD6A46" w:rsidP="001304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Appendix IX</w:t>
            </w:r>
          </w:p>
        </w:tc>
        <w:tc>
          <w:tcPr>
            <w:tcW w:w="2060" w:type="dxa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auto"/>
          </w:tcPr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If applicable.</w:t>
            </w:r>
          </w:p>
          <w:p w:rsidR="00BD6A46" w:rsidRPr="00D447C5" w:rsidRDefault="00BD6A46" w:rsidP="0013045E">
            <w:pPr>
              <w:rPr>
                <w:sz w:val="16"/>
                <w:szCs w:val="16"/>
              </w:rPr>
            </w:pPr>
            <w:r w:rsidRPr="00D447C5">
              <w:rPr>
                <w:sz w:val="16"/>
                <w:szCs w:val="16"/>
              </w:rPr>
              <w:t>The template shall be adapted to each organisation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D6A46" w:rsidRPr="00C72856" w:rsidRDefault="00BD6A46" w:rsidP="0013045E">
            <w:pPr>
              <w:rPr>
                <w:sz w:val="16"/>
                <w:szCs w:val="16"/>
              </w:rPr>
            </w:pPr>
          </w:p>
        </w:tc>
      </w:tr>
    </w:tbl>
    <w:p w:rsidR="00BD6A46" w:rsidRDefault="00BD6A46" w:rsidP="00BD6A46">
      <w:pPr>
        <w:jc w:val="center"/>
      </w:pPr>
    </w:p>
    <w:p w:rsidR="00125A3E" w:rsidRDefault="00125A3E" w:rsidP="00125A3E"/>
    <w:tbl>
      <w:tblPr>
        <w:tblW w:w="5391" w:type="pct"/>
        <w:tblInd w:w="-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476"/>
        <w:gridCol w:w="2572"/>
        <w:gridCol w:w="51"/>
        <w:gridCol w:w="2979"/>
      </w:tblGrid>
      <w:tr w:rsidR="00125A3E" w:rsidRPr="00680235" w:rsidTr="00B85C52">
        <w:trPr>
          <w:trHeight w:val="446"/>
          <w:tblHeader/>
        </w:trPr>
        <w:tc>
          <w:tcPr>
            <w:tcW w:w="3142" w:type="pct"/>
            <w:shd w:val="clear" w:color="auto" w:fill="1662AE"/>
            <w:vAlign w:val="center"/>
            <w:hideMark/>
          </w:tcPr>
          <w:p w:rsidR="00125A3E" w:rsidRPr="00680235" w:rsidRDefault="00125A3E" w:rsidP="0013045E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</w:pPr>
            <w:r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Inspected by Name Surname-Title</w:t>
            </w:r>
          </w:p>
        </w:tc>
        <w:tc>
          <w:tcPr>
            <w:tcW w:w="853" w:type="pct"/>
            <w:shd w:val="clear" w:color="auto" w:fill="1662AE"/>
            <w:noWrap/>
            <w:vAlign w:val="center"/>
            <w:hideMark/>
          </w:tcPr>
          <w:p w:rsidR="00125A3E" w:rsidRPr="00680235" w:rsidRDefault="00125A3E" w:rsidP="0013045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</w:pPr>
            <w:r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Signature</w:t>
            </w:r>
          </w:p>
        </w:tc>
        <w:tc>
          <w:tcPr>
            <w:tcW w:w="1005" w:type="pct"/>
            <w:gridSpan w:val="2"/>
            <w:shd w:val="clear" w:color="auto" w:fill="1662AE"/>
            <w:noWrap/>
            <w:vAlign w:val="center"/>
          </w:tcPr>
          <w:p w:rsidR="00125A3E" w:rsidRPr="00680235" w:rsidRDefault="00125A3E" w:rsidP="0013045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</w:pPr>
            <w:r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Date</w:t>
            </w:r>
          </w:p>
        </w:tc>
      </w:tr>
      <w:tr w:rsidR="00125A3E" w:rsidRPr="00680235" w:rsidTr="00B85C5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25A3E" w:rsidRPr="00680235" w:rsidRDefault="00125A3E" w:rsidP="0013045E">
            <w:pPr>
              <w:spacing w:after="0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25A3E" w:rsidRPr="00680235" w:rsidRDefault="00125A3E" w:rsidP="0013045E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25A3E" w:rsidRPr="00680235" w:rsidRDefault="00125A3E" w:rsidP="0013045E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</w:tbl>
    <w:p w:rsidR="00125A3E" w:rsidRDefault="00125A3E" w:rsidP="00125A3E"/>
    <w:sectPr w:rsidR="00125A3E" w:rsidSect="00BD6A4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27" w:rsidRDefault="00043627" w:rsidP="00E3383C">
      <w:pPr>
        <w:spacing w:after="0" w:line="240" w:lineRule="auto"/>
      </w:pPr>
      <w:r>
        <w:separator/>
      </w:r>
    </w:p>
  </w:endnote>
  <w:endnote w:type="continuationSeparator" w:id="0">
    <w:p w:rsidR="00043627" w:rsidRDefault="00043627" w:rsidP="00E3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0412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440D1" w:rsidRDefault="00D440D1" w:rsidP="00D440D1">
            <w:pPr>
              <w:pStyle w:val="AltBilgi"/>
              <w:jc w:val="right"/>
            </w:pPr>
          </w:p>
          <w:tbl>
            <w:tblPr>
              <w:tblStyle w:val="TabloKlavuz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3"/>
              <w:gridCol w:w="3259"/>
              <w:gridCol w:w="2280"/>
              <w:gridCol w:w="1896"/>
              <w:gridCol w:w="2428"/>
              <w:gridCol w:w="2428"/>
            </w:tblGrid>
            <w:tr w:rsidR="00D440D1" w:rsidRPr="005A32BC" w:rsidTr="0013045E">
              <w:trPr>
                <w:trHeight w:val="271"/>
              </w:trPr>
              <w:tc>
                <w:tcPr>
                  <w:tcW w:w="560" w:type="pct"/>
                  <w:tcBorders>
                    <w:top w:val="single" w:sz="4" w:space="0" w:color="A6A6A6" w:themeColor="background1" w:themeShade="A6"/>
                  </w:tcBorders>
                  <w:vAlign w:val="bottom"/>
                </w:tcPr>
                <w:p w:rsidR="00D440D1" w:rsidRPr="005A32BC" w:rsidRDefault="00D440D1" w:rsidP="00D440D1">
                  <w:pPr>
                    <w:pStyle w:val="AltBilgi"/>
                    <w:jc w:val="right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5A32BC">
                    <w:rPr>
                      <w:rFonts w:ascii="Arial" w:hAnsi="Arial" w:cs="Arial"/>
                      <w:sz w:val="14"/>
                      <w:szCs w:val="16"/>
                    </w:rPr>
                    <w:t>Doküman No:</w:t>
                  </w:r>
                </w:p>
              </w:tc>
              <w:tc>
                <w:tcPr>
                  <w:tcW w:w="1065" w:type="pct"/>
                  <w:tcBorders>
                    <w:top w:val="single" w:sz="4" w:space="0" w:color="A6A6A6" w:themeColor="background1" w:themeShade="A6"/>
                  </w:tcBorders>
                  <w:vAlign w:val="bottom"/>
                </w:tcPr>
                <w:p w:rsidR="00D440D1" w:rsidRPr="00483720" w:rsidRDefault="00D440D1" w:rsidP="00D440D1">
                  <w:pPr>
                    <w:pStyle w:val="AltBilgi"/>
                    <w:rPr>
                      <w:rFonts w:ascii="Arial" w:hAnsi="Arial" w:cs="Arial"/>
                      <w:sz w:val="14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4"/>
                      <w:szCs w:val="16"/>
                    </w:rPr>
                    <w:t>SHGM.UED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6"/>
                    </w:rPr>
                    <w:t>.</w:t>
                  </w:r>
                  <w:r w:rsidRPr="0020563D">
                    <w:rPr>
                      <w:rFonts w:ascii="Arial" w:hAnsi="Arial" w:cs="Arial"/>
                      <w:sz w:val="14"/>
                      <w:szCs w:val="16"/>
                    </w:rPr>
                    <w:t>35712805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>.FR.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>207A</w:t>
                  </w:r>
                </w:p>
              </w:tc>
              <w:tc>
                <w:tcPr>
                  <w:tcW w:w="745" w:type="pct"/>
                  <w:tcBorders>
                    <w:top w:val="single" w:sz="4" w:space="0" w:color="A6A6A6" w:themeColor="background1" w:themeShade="A6"/>
                  </w:tcBorders>
                  <w:vAlign w:val="bottom"/>
                </w:tcPr>
                <w:p w:rsidR="00D440D1" w:rsidRPr="005A32BC" w:rsidRDefault="00D440D1" w:rsidP="00D440D1">
                  <w:pPr>
                    <w:pStyle w:val="AltBilgi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171211">
                    <w:rPr>
                      <w:rFonts w:ascii="Arial" w:hAnsi="Arial" w:cs="Arial"/>
                      <w:sz w:val="14"/>
                      <w:szCs w:val="16"/>
                    </w:rPr>
                    <w:t>Yürürlük Tarihi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>:</w:t>
                  </w:r>
                </w:p>
              </w:tc>
              <w:tc>
                <w:tcPr>
                  <w:tcW w:w="619" w:type="pct"/>
                  <w:tcBorders>
                    <w:top w:val="single" w:sz="4" w:space="0" w:color="A6A6A6" w:themeColor="background1" w:themeShade="A6"/>
                  </w:tcBorders>
                  <w:vAlign w:val="bottom"/>
                </w:tcPr>
                <w:p w:rsidR="00D440D1" w:rsidRPr="005A32BC" w:rsidRDefault="00D440D1" w:rsidP="00D440D1">
                  <w:pPr>
                    <w:pStyle w:val="AltBilgi"/>
                    <w:rPr>
                      <w:rFonts w:ascii="Arial" w:hAnsi="Arial" w:cs="Arial"/>
                      <w:sz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14"/>
                      <w:szCs w:val="16"/>
                    </w:rPr>
                    <w:t>03/09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>/2025</w:t>
                  </w:r>
                  <w:proofErr w:type="gramEnd"/>
                </w:p>
              </w:tc>
              <w:tc>
                <w:tcPr>
                  <w:tcW w:w="793" w:type="pct"/>
                  <w:tcBorders>
                    <w:top w:val="single" w:sz="4" w:space="0" w:color="A6A6A6" w:themeColor="background1" w:themeShade="A6"/>
                  </w:tcBorders>
                  <w:vAlign w:val="bottom"/>
                </w:tcPr>
                <w:p w:rsidR="00D440D1" w:rsidRPr="005A32BC" w:rsidRDefault="00D440D1" w:rsidP="00D440D1">
                  <w:pPr>
                    <w:pStyle w:val="AltBilgi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                      </w:t>
                  </w:r>
                  <w:r w:rsidRPr="005A32BC">
                    <w:rPr>
                      <w:rFonts w:ascii="Arial" w:hAnsi="Arial" w:cs="Arial"/>
                      <w:sz w:val="14"/>
                      <w:szCs w:val="16"/>
                    </w:rPr>
                    <w:t>Revizyon No - Tarihi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>:</w:t>
                  </w:r>
                </w:p>
              </w:tc>
              <w:tc>
                <w:tcPr>
                  <w:tcW w:w="793" w:type="pct"/>
                  <w:tcBorders>
                    <w:top w:val="single" w:sz="4" w:space="0" w:color="A6A6A6" w:themeColor="background1" w:themeShade="A6"/>
                    <w:right w:val="nil"/>
                  </w:tcBorders>
                  <w:vAlign w:val="bottom"/>
                </w:tcPr>
                <w:p w:rsidR="00D440D1" w:rsidRPr="005A32BC" w:rsidRDefault="00D440D1" w:rsidP="00D440D1">
                  <w:pPr>
                    <w:pStyle w:val="AltBilgi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>0</w:t>
                  </w:r>
                  <w:r w:rsidRPr="005A32BC">
                    <w:rPr>
                      <w:rFonts w:ascii="Arial" w:hAnsi="Arial" w:cs="Arial"/>
                      <w:sz w:val="14"/>
                      <w:szCs w:val="16"/>
                    </w:rPr>
                    <w:t xml:space="preserve"> – 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6"/>
                    </w:rPr>
                    <w:t>00/00/0000</w:t>
                  </w:r>
                  <w:proofErr w:type="gramEnd"/>
                  <w:r w:rsidRPr="005A32BC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  </w:t>
                  </w:r>
                </w:p>
              </w:tc>
            </w:tr>
          </w:tbl>
          <w:p w:rsidR="00D440D1" w:rsidRDefault="00D440D1" w:rsidP="00D440D1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ED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ED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40D1" w:rsidRDefault="00D440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27" w:rsidRDefault="00043627" w:rsidP="00E3383C">
      <w:pPr>
        <w:spacing w:after="0" w:line="240" w:lineRule="auto"/>
      </w:pPr>
      <w:r>
        <w:separator/>
      </w:r>
    </w:p>
  </w:footnote>
  <w:footnote w:type="continuationSeparator" w:id="0">
    <w:p w:rsidR="00043627" w:rsidRDefault="00043627" w:rsidP="00E3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D1" w:rsidRDefault="00D440D1" w:rsidP="00D440D1">
    <w:pPr>
      <w:pStyle w:val="stBilgi"/>
      <w:jc w:val="center"/>
    </w:pPr>
    <w:r>
      <w:rPr>
        <w:noProof/>
      </w:rPr>
      <w:drawing>
        <wp:inline distT="0" distB="0" distL="0" distR="0" wp14:anchorId="5166605B" wp14:editId="5F8B5EEC">
          <wp:extent cx="1227455" cy="677545"/>
          <wp:effectExtent l="0" t="0" r="0" b="0"/>
          <wp:docPr id="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40D1" w:rsidRDefault="00D440D1" w:rsidP="00D440D1">
    <w:pPr>
      <w:pStyle w:val="stBilgi"/>
      <w:jc w:val="center"/>
    </w:pPr>
  </w:p>
  <w:p w:rsidR="00D440D1" w:rsidRDefault="00D440D1" w:rsidP="00D440D1">
    <w:pPr>
      <w:pStyle w:val="stBilgi"/>
      <w:jc w:val="center"/>
    </w:pPr>
    <w:r>
      <w:rPr>
        <w:rFonts w:ascii="Arial" w:hAnsi="Arial" w:cs="Arial"/>
        <w:b/>
        <w:bCs/>
        <w:position w:val="1"/>
        <w:sz w:val="24"/>
        <w:szCs w:val="24"/>
      </w:rPr>
      <w:t>Üretim Organizasyonu El Kitabı</w:t>
    </w:r>
    <w:r w:rsidR="006C26FD">
      <w:rPr>
        <w:rFonts w:ascii="Arial" w:hAnsi="Arial" w:cs="Arial"/>
        <w:b/>
        <w:bCs/>
        <w:position w:val="1"/>
        <w:sz w:val="24"/>
        <w:szCs w:val="24"/>
      </w:rPr>
      <w:t xml:space="preserve"> İçerik</w:t>
    </w:r>
    <w:r w:rsidRPr="008956C0">
      <w:rPr>
        <w:rFonts w:ascii="Arial" w:hAnsi="Arial" w:cs="Arial"/>
        <w:b/>
        <w:bCs/>
        <w:position w:val="1"/>
        <w:sz w:val="24"/>
        <w:szCs w:val="24"/>
      </w:rPr>
      <w:t xml:space="preserve"> Kontrol Formu</w:t>
    </w:r>
  </w:p>
  <w:p w:rsidR="00D440D1" w:rsidRDefault="00D440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75C0"/>
    <w:multiLevelType w:val="hybridMultilevel"/>
    <w:tmpl w:val="0B26031A"/>
    <w:lvl w:ilvl="0" w:tplc="4FBA035E">
      <w:start w:val="2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6C7343"/>
    <w:multiLevelType w:val="hybridMultilevel"/>
    <w:tmpl w:val="8B7ED49A"/>
    <w:lvl w:ilvl="0" w:tplc="4FBA035E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02"/>
    <w:rsid w:val="00043627"/>
    <w:rsid w:val="00125A3E"/>
    <w:rsid w:val="00142AF9"/>
    <w:rsid w:val="00157F5E"/>
    <w:rsid w:val="003C3389"/>
    <w:rsid w:val="003F6CE4"/>
    <w:rsid w:val="004C1E7A"/>
    <w:rsid w:val="005652E3"/>
    <w:rsid w:val="00570B02"/>
    <w:rsid w:val="006C26FD"/>
    <w:rsid w:val="00902651"/>
    <w:rsid w:val="00913EDE"/>
    <w:rsid w:val="00982C40"/>
    <w:rsid w:val="00A0785C"/>
    <w:rsid w:val="00A80BA9"/>
    <w:rsid w:val="00B85C52"/>
    <w:rsid w:val="00B87DCA"/>
    <w:rsid w:val="00BD6A46"/>
    <w:rsid w:val="00CA50EE"/>
    <w:rsid w:val="00D440D1"/>
    <w:rsid w:val="00E3383C"/>
    <w:rsid w:val="00E349CA"/>
    <w:rsid w:val="00EF38C6"/>
    <w:rsid w:val="00F871FA"/>
    <w:rsid w:val="00F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C23CD"/>
  <w15:chartTrackingRefBased/>
  <w15:docId w15:val="{37821805-773F-4EC8-B48B-EF8039B7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A80BA9"/>
    <w:pPr>
      <w:tabs>
        <w:tab w:val="left" w:pos="3421"/>
        <w:tab w:val="left" w:pos="3470"/>
        <w:tab w:val="center" w:pos="3968"/>
        <w:tab w:val="center" w:pos="4423"/>
      </w:tabs>
      <w:spacing w:before="60" w:after="60" w:line="240" w:lineRule="auto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A80BA9"/>
    <w:pPr>
      <w:tabs>
        <w:tab w:val="left" w:pos="2235"/>
      </w:tabs>
      <w:spacing w:before="60" w:after="6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0BA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A80BA9"/>
    <w:rPr>
      <w:rFonts w:ascii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4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40D1"/>
  </w:style>
  <w:style w:type="paragraph" w:styleId="AltBilgi">
    <w:name w:val="footer"/>
    <w:basedOn w:val="Normal"/>
    <w:link w:val="AltBilgiChar"/>
    <w:uiPriority w:val="99"/>
    <w:unhideWhenUsed/>
    <w:rsid w:val="00D4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40D1"/>
  </w:style>
  <w:style w:type="table" w:styleId="TabloKlavuzu">
    <w:name w:val="Table Grid"/>
    <w:basedOn w:val="NormalTablo"/>
    <w:uiPriority w:val="59"/>
    <w:rsid w:val="00D440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2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2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06"/>
    <w:rsid w:val="00140006"/>
    <w:rsid w:val="004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4DC477DBE0C453296D3C3F6B34DED3A">
    <w:name w:val="D4DC477DBE0C453296D3C3F6B34DED3A"/>
    <w:rsid w:val="00140006"/>
  </w:style>
  <w:style w:type="paragraph" w:customStyle="1" w:styleId="DB2C1715716446DFB4AEFCD053DDEBFA">
    <w:name w:val="DB2C1715716446DFB4AEFCD053DDEBFA"/>
    <w:rsid w:val="00140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FF42-3527-4273-A30A-85F64770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 Samaraz</dc:creator>
  <cp:keywords/>
  <dc:description/>
  <cp:lastModifiedBy>Erdi Samaraz</cp:lastModifiedBy>
  <cp:revision>24</cp:revision>
  <cp:lastPrinted>2025-09-03T08:17:00Z</cp:lastPrinted>
  <dcterms:created xsi:type="dcterms:W3CDTF">2025-09-03T07:28:00Z</dcterms:created>
  <dcterms:modified xsi:type="dcterms:W3CDTF">2025-09-03T08:23:00Z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user=erdi.samaraz</vt:lpwstr>
  </property>
  <property fmtid="{D5CDD505-2E9C-101B-9397-08002B2CF9AE}" pid="4" name="geodilabeltime">
    <vt:lpwstr>datetime=2025-09-03T07:29:29.404Z</vt:lpwstr>
  </property>
</Properties>
</file>